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VO-ID211985 (Brandenburg) — Zulässige Handlungen</w:t>
      </w:r>
    </w:p>
    <w:p>
      <w:r>
        <w:rPr>
          <w:color w:val="555555"/>
          <w:sz w:val="18"/>
        </w:rPr>
        <w:t xml:space="preserve">Verordnung über das Naturschutzgebiet „Oberes Pfefferfließ“</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 Gewässerufer bei Beweidung auszuzäunen sind und § 4 Abs. 2 Nr. 24 gilt;</w:t>
      </w:r>
    </w:p>
    <w:p>
      <w:r>
        <w:t xml:space="preserve">die im Sinne des § 11 Abs. 3 des Brandenburgischen Naturschutzgesetzes ordnungsgemäße forstwirtschaftliche Bodennutzung in der bisherigen Art und im bisherigen Umfang auf den bisher rechtmäßig dafür genutzten Flächen mit der Maßgabe, dass</w:t>
      </w:r>
    </w:p>
    <w:p>
      <w:r>
        <w:t xml:space="preserve">die an der potenziell natürlichen Vegetation orientierte Baumartenzusammensetzung zu erhalten beziehungsweise wiederherzustellen ist,</w:t>
      </w:r>
    </w:p>
    <w:p>
      <w:r>
        <w:t xml:space="preserve">§ 4 Abs. 2 Nr. 23 gilt;</w:t>
      </w:r>
    </w:p>
    <w:p>
      <w:r>
        <w:t xml:space="preserve">die im Sinne des § 11 Abs. 4 des Brandenburgischen Naturschutzgesetzes in Verbindung mit § 1 Abs. 1 und 2 des Fischereigesetzes für das Land Brandenburg ordnungsgemäße fischereiwirtschaftliche Flächennutzung in der bisherigen Art und im bisherigen Umfang auf den bisher dafür genutzten Flächen mit der Maßgabe, dass</w:t>
      </w:r>
    </w:p>
    <w:p>
      <w:r>
        <w:t xml:space="preserve">das Verbot des § 4 Abs. 2 Nr. 19 gilt,</w:t>
      </w:r>
    </w:p>
    <w:p>
      <w:r>
        <w:t xml:space="preserve">Fanggeräte und Fangmittel so einzusetzen oder auszustatten sind, dass ein Einschwimmen oder eine Gefährdung des Fischotters weitgehend ausgeschlossen ist;</w:t>
      </w:r>
    </w:p>
    <w:p>
      <w:r>
        <w:t xml:space="preserve">die rechtmäßige Ausübung der Angelfischerei an den beiden östlich gelegenen Torfstichen sowie dem Klinkenmühlenteich ausschließlich an den dafür ausgewiesenen Angelstellen. Die Angelstellen sind vor Ort markiert und ihre Lage ist in der topografischen Karte durch Symbole gekennzeichnet;</w:t>
      </w:r>
    </w:p>
    <w:p>
      <w:r>
        <w:t xml:space="preserve">für den Bereich der Jagd:</w:t>
      </w:r>
    </w:p>
    <w:p>
      <w:r>
        <w:t xml:space="preserve">die rechtmäßige Ausübung der Jagd,</w:t>
      </w:r>
    </w:p>
    <w:p>
      <w:r>
        <w:t xml:space="preserve">die Errichtung ortsunveränderlicher jagdlicher Einrichtungen zur Ansitzjagd mit Zustimmung der unteren Naturschutzbehörde. Die Zustimmung ist zu erteilen, wenn der Schutzzweck nicht beeinträchtigt wird,</w:t>
      </w:r>
    </w:p>
    <w:p>
      <w:r>
        <w:t xml:space="preserve">das Aufstellen mobiler Ansitzeinrichtungen,</w:t>
      </w:r>
    </w:p>
    <w:p>
      <w:r>
        <w:t xml:space="preserve">die Anlage von Kirrungen und Salzlecken außerhalb von Feuchtgebieten;</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 Bodenschutzgesetz sowie Maßnahmen der Munitionsbergung im Einvernehmen mit der unteren Naturschutzbehörde;</w:t>
      </w:r>
    </w:p>
    <w:p>
      <w:r>
        <w:t xml:space="preserve">die Nutzung, Unterhaltung und Pflege der bestehenden Gärten in der bisherigen Art und im bisherigen Umfang;</w:t>
      </w:r>
    </w:p>
    <w:p>
      <w:r>
        <w:t xml:space="preserve">im Klinkenmühlenteich zu baden und ihn mit muskelbetriebenen Wasserfahrzeugen zu befahren;</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Abwendung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oder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VO-ID211985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https://recht.nulegal.eu/gesetze/VO-ID211985/5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