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VO-ID211985 (Brandenburg) — In-Kraft-Treten</w:t>
      </w:r>
    </w:p>
    <w:p>
      <w:r>
        <w:rPr>
          <w:color w:val="555555"/>
          <w:sz w:val="18"/>
        </w:rPr>
        <w:t xml:space="preserve">Verordnung über das Naturschutzgebiet „Oberes Pfefferfließ“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14. April 2003</w:t>
      </w:r>
    </w:p>
    <w:p>
      <w:r>
        <w:rPr>
          <w:color w:val="555555"/>
          <w:sz w:val="17"/>
        </w:rPr>
        <w:t xml:space="preserve">Zitiervorschlag: § 11 VO-ID211985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https://recht.nulegal.eu/gesetze/VO-ID211985/11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