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VO-ID211972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„Buhnenwerder-Wusterau“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die Bereiche der Trockenrasen sollen durch Pflegemaßnahmen gehölzfrei gehalten werden;</w:t>
      </w:r>
    </w:p>
    <w:p>
      <w:r>
        <w:t xml:space="preserve">die Bereiche der Feuchtwiesen sollen einmal jährlich ab August gemäht und das Mahdgut abtransportiert werden;</w:t>
      </w:r>
    </w:p>
    <w:p>
      <w:r>
        <w:t xml:space="preserve">Altbäume sollen erhalten und ein hoher Totholzanteil gesichert werden;</w:t>
      </w:r>
    </w:p>
    <w:p>
      <w:r>
        <w:t xml:space="preserve">nicht der potenziell natürlichen Vegetation entsprechende Gehölze außerhalb der Parkstrukturen auf der Insel Buhnenwerder sollen entfernt werden. Die Spätblühende Traubenkirsche (Prunus serotina) soll überall entfernt werden.</w:t>
      </w:r>
    </w:p>
    <w:p>
      <w:r>
        <w:rPr>
          <w:color w:val="555555"/>
          <w:sz w:val="17"/>
        </w:rPr>
        <w:t xml:space="preserve">Zitiervorschlag: § 6 VO-ID211972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https://recht.nulegal.eu/gesetze/VO-ID211972/6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VO-ID211972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