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VO-ID211972 (Brandenburg) — Zulässige Handlungen</w:t>
      </w:r>
    </w:p>
    <w:p>
      <w:r>
        <w:rPr>
          <w:color w:val="555555"/>
          <w:sz w:val="18"/>
        </w:rPr>
        <w:t xml:space="preserve">Verordnung über das Naturschutzgebiet „Buhnenwerder-Wusterau“</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bleiben folgende Handlungen:</w:t>
      </w:r>
    </w:p>
    <w:p>
      <w:r>
        <w:t xml:space="preserve">die im Sinne des § 11 Abs. 2 des Brandenburgischen Naturschutzgesetzes ordnungsgemäße landwirtschaftliche Bodennutzung auf den bisher rechtmäßig dafür genutzten Flächen auf der Halbinsel Wusterau;</w:t>
      </w:r>
    </w:p>
    <w:p>
      <w:r>
        <w:t xml:space="preserve">die im Sinne des § 11 Abs. 3 des Brandenburgischen Naturschutzgesetzes ordnungsgemäße forstwirtschaftliche Bodennutzung in der bisherigen Art und im bisherigen Umfang auf den bisher rechtmäßig dafür genutzten Flächen auf der Insel Buhnenwerder mit der Maßgabe, dass § 4 Abs. 2 Nr. 23 gilt;</w:t>
      </w:r>
    </w:p>
    <w:p>
      <w:r>
        <w:t xml:space="preserve">die im Sinne des § 11 Abs. 4 des Brandenburgischen Naturschutzgesetzes in Verbindung mit § 1 Abs. 1 und 2 des Fischereigesetzes für das Land Brandenburg ordnungsgemäße fischereiwirtschaftliche Flächennutzung in der bisherigen Art und im bisherigen Umfang auf den bisher rechtmäßig dafür genutzten Flächen mit der Maßgabe, dass Fanggeräte und Fangmittel so einzusetzen oder auszustatten sind, dass ein Einschwimmen und eine Gefährdung des Fischotters und des Bibers weitgehend ausgeschlossen ist;</w:t>
      </w:r>
    </w:p>
    <w:p>
      <w:r>
        <w:t xml:space="preserve">die rechtmäßige Ausübung der Angelfischerei mit der Maßgabe, dass</w:t>
      </w:r>
    </w:p>
    <w:p>
      <w:r>
        <w:t xml:space="preserve">diese außerhalb der in den topografischen Karten dieser Verordnung gekennzeichneten Bereiche nur vom Boot aus gestattet ist,</w:t>
      </w:r>
    </w:p>
    <w:p>
      <w:r>
        <w:t xml:space="preserve">diese im Radius von 50 Meter von Biberburgen und Fischotterbauen unzulässig ist,</w:t>
      </w:r>
    </w:p>
    <w:p>
      <w:r>
        <w:t xml:space="preserve">das Befahren der Röhrichte und Schwimmblattgesellschaften verboten bleibt,</w:t>
      </w:r>
    </w:p>
    <w:p>
      <w:r>
        <w:t xml:space="preserve">§ 4 Abs. 2 Nr. 20 gilt;</w:t>
      </w:r>
    </w:p>
    <w:p>
      <w:r>
        <w:t xml:space="preserve">für den Bereich der Jagd:</w:t>
      </w:r>
    </w:p>
    <w:p>
      <w:r>
        <w:t xml:space="preserve">die rechtmäßige Ausübung der Jagd mit der Maßgabe, dass diese in der Zeit vom 1. März bis 30. Juni eines jeden Jahres vom Ansitz aus erfolgt,</w:t>
      </w:r>
    </w:p>
    <w:p>
      <w:r>
        <w:t xml:space="preserve">die Errichtung ortsunveränderlicher jagdlicher Einrichtungen mit Zustimmung der unteren Naturschutzbehörde. Die Zustimmung ist zu erteilen, wenn der Schutzzweck nicht beeinträchtigt wird.</w:t>
      </w:r>
    </w:p>
    <w:p>
      <w:r>
        <w:t xml:space="preserve">Transportable und mobile Ansitzeinrichtungen sind der unteren Naturschutzbehörde vor der Errichtung anzuzeigen. Die untere Naturschutzbehörde kann in begründeten Einzelfällen das Aufstellen verbieten. Die Entscheidung hierüber soll unverzüglich erfolgen.</w:t>
      </w:r>
    </w:p>
    <w:p>
      <w:r>
        <w:t xml:space="preserve">Unzulässig bleibt die Anlage von Ansaatwildwiesen und Wildäckern;</w:t>
      </w:r>
    </w:p>
    <w:p>
      <w:r>
        <w:t xml:space="preserve">die Pflege und Entwicklung der Parkstrukturen unter Fortführung der Gehölzpflege und der Anpflanzung von einzelnen fremdländischen Gehölzen im bisherigen Umfang sowie die Unterhaltung des Naturlehrpfades auf der Insel Buhnenwerder jeweils nur mit Zustimmung der unteren Naturschutzbehörde;</w:t>
      </w:r>
    </w:p>
    <w:p>
      <w:r>
        <w:t xml:space="preserve">die im Sinne des § 10 des Brandenburgischen Straßengesetzes ordnungsgemäße Unterhaltung der dem öffentlichen Verkehr gewidmeten Straßen und Wege, die im Sinne des § 78 des Brandenburgischen Wassergesetzes ordnungsgemäße Unterhaltung der Gewässer, die ordnungsgemäße Unterhaltung sonstiger rechtmäßig bestehender Anlagen sowie die ordnungsgemäße Unterhaltung der im Gebiet gelegenen Bundeswasserstraße, sofern sie den gesetzlichen Umfang nicht überschreitet,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Altlastenverdachtsflächen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Der Genehmigungsvorbehalt nach § 19 Abs. 3 Satz 2 des Landeswaldgesetzes bleibt unberührt.</w:t>
      </w:r>
    </w:p>
    <w:p>
      <w:r>
        <w:rPr>
          <w:color w:val="555555"/>
          <w:sz w:val="17"/>
        </w:rPr>
        <w:t xml:space="preserve">Zitiervorschlag: § 5 VO-ID211972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https://recht.nulegal.eu/gesetze/VO-ID211972/5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VO-ID211972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