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VO-ID211972 (Brandenburg) — In-Kraft-Treten</w:t>
      </w:r>
    </w:p>
    <w:p>
      <w:r>
        <w:rPr>
          <w:color w:val="555555"/>
          <w:sz w:val="18"/>
        </w:rPr>
        <w:t xml:space="preserve">Verordnung über das Naturschutzgebiet „Buhnenwerder-Wusterau“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16. Dezember 2002</w:t>
      </w:r>
    </w:p>
    <w:p>
      <w:r>
        <w:rPr>
          <w:color w:val="555555"/>
          <w:sz w:val="17"/>
        </w:rPr>
        <w:t xml:space="preserve">Zitiervorschlag: § 11 VO-ID211972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https://recht.nulegal.eu/gesetze/VO-ID211972/11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