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VO-ID211969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„Gehron-See“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das Wasserdargebot am Großen und Kleinen Gehron-See soll zur Stabilisierung der hydrologischen Verhältnisse durch geeignete Maßnahmen erhalten beziehungsweise verbessert werden;</w:t>
      </w:r>
    </w:p>
    <w:p>
      <w:r>
        <w:t xml:space="preserve">zur Erhaltung beziehungsweise Wiederherstellung artenreicher Grünlandbestände sollen die Grünlandflächen extensiv bewirtschaftet werden;</w:t>
      </w:r>
    </w:p>
    <w:p>
      <w:r>
        <w:t xml:space="preserve">es wird angestrebt, das Erdstofflager am Nordufer des Gehron-Sees zu renaturieren und gegebenenfalls zurückzubauen.</w:t>
      </w:r>
    </w:p>
    <w:p>
      <w:r>
        <w:rPr>
          <w:color w:val="555555"/>
          <w:sz w:val="17"/>
        </w:rPr>
        <w:t xml:space="preserve">Zitiervorschlag: § 6 VO-ID211969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https://recht.nulegal.eu/gesetze/VO-ID211969/6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VO-ID211969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