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VO-ID211969 (Brandenburg) — Zulässige Handlungen</w:t>
      </w:r>
    </w:p>
    <w:p>
      <w:r>
        <w:rPr>
          <w:color w:val="555555"/>
          <w:sz w:val="18"/>
        </w:rPr>
        <w:t xml:space="preserve">Verordnung über das Naturschutzgebiet „Gehron-See“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 § 4 Abs. 2 Nr. 24 gilt;</w:t>
      </w:r>
    </w:p>
    <w:p>
      <w:r>
        <w:t xml:space="preserve">die im Sinne des § 11 Abs. 3 des Brandenburgischen Naturschutzgesetzes ordnungsgemäße forstwirtschaftliche Bodennutzung in der bisherigen Art und im bisherigen Umfang auf den bisher rechtmäßig dafür genutzten Flächen mit der Maßgabe, dass bei der Wiederaufforstung Baumarten der potenziell natürlichen Vegetation verwendet werden;</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 mit der Maßgabe, dass</w:t>
      </w:r>
    </w:p>
    <w:p>
      <w:r>
        <w:t xml:space="preserve">das Verbot des § 4 Abs. 2 Nr. 19 gilt,</w:t>
      </w:r>
    </w:p>
    <w:p>
      <w:r>
        <w:t xml:space="preserve">für die Elektrofischerei und die Verwendung künstlicher Lichtquellen die Zustimmung der unteren Naturschutzbehörde erforderlich ist,</w:t>
      </w:r>
    </w:p>
    <w:p>
      <w:r>
        <w:t xml:space="preserve">Fanggeräte und Fangmittel so einzusetzen oder auszustatten sind, dass ein Einschwimmen und eine Gefährdung des Fischotters weitgehend ausgeschlossen ist;</w:t>
      </w:r>
    </w:p>
    <w:p>
      <w:r>
        <w:t xml:space="preserve">die rechtmäßige Ausübung der Angelfischerei vom Boot aus sowie das Angeln innerhalb des in der topografischen Karte dargestellten Bereichs (Gemarkung Gransee, Flur 10, Flurstück 194) vom Ufer aus. § 4 Abs. 2 Nr. 13 gilt weiterhin;</w:t>
      </w:r>
    </w:p>
    <w:p>
      <w:r>
        <w:t xml:space="preserve">für den Bereich der Jagd:</w:t>
      </w:r>
    </w:p>
    <w:p>
      <w:r>
        <w:t xml:space="preserve">die rechtmäßige Ausübung der Jagd mit der Maßgabe, dass die Jagd auf Wasservögel verboten ist,</w:t>
      </w:r>
    </w:p>
    <w:p>
      <w:r>
        <w:t xml:space="preserve">die Errichtung ortsunveränderlicher jagdlicher Einrichtungen mit Zustimmung der unteren Naturschutzbehörde. Die Zustimmung ist zu erteilen, wenn der Schutzzweck nicht beeinträchtigt wird. Transportable und mobile Ansitzeinrichtungen sind der unteren Naturschutzbehörde vor der Aufstellung anzuzeigen. Die untere Naturschutzbehörde kann in begründeten Einzelfällen das Aufstellen verbieten. Die Entscheidung hierüber soll unverzüglich erfolgen,</w:t>
      </w:r>
    </w:p>
    <w:p>
      <w:r>
        <w:t xml:space="preserve">die Anlage von Kirrungen außerhalb geschützter Biotope;</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VO-ID211969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VO-ID211969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