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VO-ID211967 (Brandenburg) — Befreiungen</w:t>
      </w:r>
    </w:p>
    <w:p>
      <w:r>
        <w:rPr>
          <w:color w:val="555555"/>
          <w:sz w:val="18"/>
        </w:rPr>
        <w:t xml:space="preserve">Verordnung über das Naturschutzgebiet „Landiner Haussee“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VO-ID211967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https://recht.nulegal.eu/gesetze/VO-ID211967/7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