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VO-ID211967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„Landiner Haussee“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bei drohender Verlandung des Landiner Haussees soll der Faulschlamm entfernt werden;</w:t>
      </w:r>
    </w:p>
    <w:p>
      <w:r>
        <w:t xml:space="preserve">um den Haussee herum soll ein Ackerrandstreifen angelegt oder ein extensiv genutzter Grünlandgürtel von mindestens 50 Metern Breite entwickelt werden;</w:t>
      </w:r>
    </w:p>
    <w:p>
      <w:r>
        <w:t xml:space="preserve">die landwirtschaftliche Bewirtschaftung soll möglichst außerhalb des Wanderungsgeschehens der Rotbauchunke erfolgen, das Ausbringen von Dünge- und Pflanzenschutzmitteln und die Wahl der Fruchtarten soll auf die Lebensraumansprüche der Rotbauchunke abgestimmt werden.</w:t>
      </w:r>
    </w:p>
    <w:p>
      <w:r>
        <w:rPr>
          <w:color w:val="555555"/>
          <w:sz w:val="17"/>
        </w:rPr>
        <w:t xml:space="preserve">Zitiervorschlag: § 6 VO-ID211967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https://recht.nulegal.eu/gesetze/VO-ID211967/6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VO-ID211967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