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VO-ID211967 (Brandenburg) — Zulässige Handlungen</w:t>
      </w:r>
    </w:p>
    <w:p>
      <w:r>
        <w:rPr>
          <w:color w:val="555555"/>
          <w:sz w:val="18"/>
        </w:rPr>
        <w:t xml:space="preserve">Verordnung über das Naturschutzgebiet „Landiner Haussee“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w:t>
      </w:r>
    </w:p>
    <w:p>
      <w:r>
        <w:t xml:space="preserve">auf einem zehn Meter breiten Randstreifen, gemessen von der Außenkante der Röhrichtzone um den Haussee, der Einsatz von Düngemitteln, Herbiziden und Insektiziden untersagt bleibt,</w:t>
      </w:r>
    </w:p>
    <w:p>
      <w:r>
        <w:t xml:space="preserve">Gewässerufer bei Beweidung auszuzäunen sind,</w:t>
      </w:r>
    </w:p>
    <w:p>
      <w:r>
        <w:t xml:space="preserve">§ 4 Abs. 2 Nr. 24 gilt, wobei die umbruchlose Nachsaat des Grünlandes bei Narbenschäden mit Zustimmung der unteren Naturschutzbehörde zulässig ist;</w:t>
      </w:r>
    </w:p>
    <w:p>
      <w:r>
        <w:t xml:space="preserve">die im Sinne des § 11 Abs. 4 des Brandenburgischen Naturschutzgesetzes in Verbindung mit § 1 Abs. 1 und 2 des Fischereigesetzes für das Land Brandenburg ordnungsgemäße fischereiwirtschaftliche Flächennutzung mit der Maßgabe, dass</w:t>
      </w:r>
    </w:p>
    <w:p>
      <w:r>
        <w:t xml:space="preserve">Fanggeräte und Fangmittel so einzusetzen oder auszustatten sind, dass ein Einschwimmen und eine Gefährdung des Fischotters weitgehend ausgeschlossen ist,</w:t>
      </w:r>
    </w:p>
    <w:p>
      <w:r>
        <w:t xml:space="preserve">die Mahd von Schilfflächen nur mit Zustimmung der unteren Naturschutzbehörde zulässig ist,</w:t>
      </w:r>
    </w:p>
    <w:p>
      <w:r>
        <w:t xml:space="preserve">§ 4 Abs. 2 Nr. 19 gilt;</w:t>
      </w:r>
    </w:p>
    <w:p>
      <w:r>
        <w:t xml:space="preserve">die rechtmäßige Ausübung der Angelfischerei mit der Maßgabe, dass</w:t>
      </w:r>
    </w:p>
    <w:p>
      <w:r>
        <w:t xml:space="preserve">das Angeln vom Land aus am Nordostufer des Haussees in dem in der topografischen Karte gekennzeichneten Bereich erfolgt,</w:t>
      </w:r>
    </w:p>
    <w:p>
      <w:r>
        <w:t xml:space="preserve">beim Angeln vom Boot aus § 4 Abs. 2 Nr. 13 gilt;</w:t>
      </w:r>
    </w:p>
    <w:p>
      <w:r>
        <w:t xml:space="preserve">für den Bereich Jagd:</w:t>
      </w:r>
    </w:p>
    <w:p>
      <w:r>
        <w:t xml:space="preserve">die rechtmäßige Ausübung der Jagd mit der Maßgabe, dass kein Federwild bejagt wird,</w:t>
      </w:r>
    </w:p>
    <w:p>
      <w:r>
        <w:t xml:space="preserve">die Errichtung ortsunveränderlicher jagdlicher Einrichtungen mit Zustimmung der unteren Naturschutzbehörde. Eine Zustimmung ist zu erteilen, wenn der Schutzzweck nicht beeinträchtigt wird. Transportable und mobile Ansitzeinrichtungen sind der unteren Naturschutzbehörde vor der Errichtung anzuzeigen. Die untere Naturschutzbehörde kann in begründeten Einzelfällen das Aufstellen verbieten. Die Entscheidung hierüber soll unverzüglich erfolgen;</w:t>
      </w:r>
    </w:p>
    <w:p>
      <w:r>
        <w:t xml:space="preserve">die Anlage von Kirrungen zur Bejagung von Schwarzwild;</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VO-ID211967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VO-ID211967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