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VO-ID211964 (Brandenburg) — Zulässige Handlungen</w:t>
      </w:r>
    </w:p>
    <w:p>
      <w:r>
        <w:rPr>
          <w:color w:val="555555"/>
          <w:sz w:val="18"/>
        </w:rPr>
        <w:t xml:space="preserve">Verordnung über das Naturschutzgebiet „Pinnower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w:t>
      </w:r>
    </w:p>
    <w:p>
      <w:r>
        <w:t xml:space="preserve">die im Sinne des § 11 Abs. 3 des Brandenburgischen Naturschutzgesetzes ordnungsgemäße forstwirtschaftliche Bodennutzung in der bisherigen Art und im bisherigen Umfang auf den bisher rechtmäßig dafür genutzten Flächen mit der Maßgabe, dass</w:t>
      </w:r>
    </w:p>
    <w:p>
      <w:r>
        <w:t xml:space="preserve">eine einzelstamm- bis gruppenweise Nutzung ohne Kahlhieb vorzunehmen ist,</w:t>
      </w:r>
    </w:p>
    <w:p>
      <w:r>
        <w:t xml:space="preserve">mindestens ein Totholzanteil von 5 vom Hundert und ein Altholzanteil von 10 vom Hundert am Holzvorrat erhalten bleibt,</w:t>
      </w:r>
    </w:p>
    <w:p>
      <w:r>
        <w:t xml:space="preserve">keine Erstaufforstungen vorzunehmen sind,</w:t>
      </w:r>
    </w:p>
    <w:p>
      <w:r>
        <w:t xml:space="preserve">§ 4 Abs. 2 Nr. 23 gilt;</w:t>
      </w:r>
    </w:p>
    <w:p>
      <w:r>
        <w:t xml:space="preserve">für den Bereich der Jagd:</w:t>
      </w:r>
    </w:p>
    <w:p>
      <w:r>
        <w:t xml:space="preserve">die rechtmäßige Ausübung der Jagd mit der Maßgabe, dass die Jagd in der Zeit vom 15. März bis 31. Juli eines Jahres ausschließlich vom Ansitz aus erfolgt,</w:t>
      </w:r>
    </w:p>
    <w:p>
      <w:r>
        <w:t xml:space="preserve">die Errichtung ortsunveränderlicher jagdlicher Einrichtungen mit Zustimmung der unteren Naturschutzbehörde erfolgt. Transportable und mobile Ansitzeinrichtungen sind der unteren Naturschutzbehörde anzuzeigen. Sie kann in begründeten Fällen das Aufstellen verbieten. Die Entscheidung soll unverzüglich erfolgen. Unzulässig bleibt die Anlage von Wildwiesen, Wildäckern und Kirrungen;</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 Zuständige Behörde für die Herstellung des Einvernehmens bei der Unterhaltung der im Schutzgebiet gelegenen Bundeswasserstraße in Bezug auf die Bedürfnisse der Landeskultur und der Wasserwirtschaft nach § 4 des Bundeswasserstraßengesetzes ist der Landkreis als zuständige untere Naturschutz- und Wasserbehörde;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zuständigen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VO-ID211964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https://recht.nulegal.eu/gesetze/VO-ID211964/5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