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VO-ID211963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„Lienewitz-Caputher Seen- und Feuchtgebietskette“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die forstliche Bewirtschaftung und Nutzung im Bereich der naturnahen Waldbestände soll extensiv erfolgen;</w:t>
      </w:r>
    </w:p>
    <w:p>
      <w:r>
        <w:t xml:space="preserve">die vorhandenen Kiefernforste sollen mittelfristig in naturnahe, standortgerechte Laub- und Mischwaldgesellschaften überführt werden;</w:t>
      </w:r>
    </w:p>
    <w:p>
      <w:r>
        <w:t xml:space="preserve">die Moore sollen durch periodische Pflegemaßnahmen erhalten werden;</w:t>
      </w:r>
    </w:p>
    <w:p>
      <w:r>
        <w:t xml:space="preserve">das Wander-, Rad- und Reitwegenetz soll so geschaffen und verändert werden, dass störungsempfindliche Tierarten nicht beunruhigt werden;</w:t>
      </w:r>
    </w:p>
    <w:p>
      <w:r>
        <w:t xml:space="preserve">es sollen Maßnahmen zur Verbesserung des gebietsbezogenen Landschaftswasserhaushaltes entwickelt und umgesetzt werden.</w:t>
      </w:r>
    </w:p>
    <w:p>
      <w:r>
        <w:rPr>
          <w:color w:val="555555"/>
          <w:sz w:val="17"/>
        </w:rPr>
        <w:t xml:space="preserve">Zitiervorschlag: § 6 VO-ID211963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https://recht.nulegal.eu/gesetze/VO-ID211963/6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