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VO-ID211963 (Brandenburg) — Zulässige Handlungen</w:t>
      </w:r>
    </w:p>
    <w:p>
      <w:r>
        <w:rPr>
          <w:color w:val="555555"/>
          <w:sz w:val="18"/>
        </w:rPr>
        <w:t xml:space="preserve">Verordnung über das Naturschutzgebiet „Lienewitz-Caputher Seen- und Feuchtgebietskette“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die in § 3 Abs. 1 Nr. 1 genannten Waldgesellschaften erhalten werden,</w:t>
      </w:r>
    </w:p>
    <w:p>
      <w:r>
        <w:t xml:space="preserve">Kahlhiebe nur bis 0,5 Hektar zulässig sind,</w:t>
      </w:r>
    </w:p>
    <w:p>
      <w:r>
        <w:t xml:space="preserve">nur Baumarten der potenziell natürlichen Vegetation eingebracht werden dürfen,</w:t>
      </w:r>
    </w:p>
    <w:p>
      <w:r>
        <w:t xml:space="preserve">stehendes Totholz mit mehr als 30 Zentimetern Stammdurchmesser in 1,30 Metern Höhe über dem Stammfuß nicht gefällt wird und liegendes Totholz an Ort und Stelle verbleibt,</w:t>
      </w:r>
    </w:p>
    <w:p>
      <w:r>
        <w:t xml:space="preserve">§ 4 Abs. 2 Nr. 23 gilt;</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mit der Maßgabe, dass Fanggeräte und Fangmittel so eingesetzt oder ausgestattet werden, dass das Einschwimmen und eine Gefährdung des Fischotters weitgehend ausgeschlossen ist;</w:t>
      </w:r>
    </w:p>
    <w:p>
      <w:r>
        <w:t xml:space="preserve">die rechtmäßige Ausübung der Angelfischerei auf dem Caputher See, dem Großen und dem Kleinen Lienewitzsee mit der Maßgabe, dass</w:t>
      </w:r>
    </w:p>
    <w:p>
      <w:r>
        <w:t xml:space="preserve">das Angeln vom Boot aus nur mit Booten ohne eigene Triebkraft zulässig ist,</w:t>
      </w:r>
    </w:p>
    <w:p>
      <w:r>
        <w:t xml:space="preserve">zum Ufer und zu Röhrichtbeständen im Bereich der in der Übersichtskarte gekennzeichneten Uferschutzzonen wasserseitig ein Mindestabstand von zehn Metern einzuhalten ist,</w:t>
      </w:r>
    </w:p>
    <w:p>
      <w:r>
        <w:t xml:space="preserve">das Einfahren in Schwimmblattbestände mit Ausnahme der Zufahrt zu den Bootsstegen des Anglervereins am Großen Lienewitzsee unzulässig ist,</w:t>
      </w:r>
    </w:p>
    <w:p>
      <w:r>
        <w:t xml:space="preserve">das Angeln vom Ufer aus nur an den in der Übersichtskarte gekennzeichneten Bereichen gestattet ist,</w:t>
      </w:r>
    </w:p>
    <w:p>
      <w:r>
        <w:t xml:space="preserve">das Betreten von Verlandungsbereichen und Röhrichten unzulässig ist,</w:t>
      </w:r>
    </w:p>
    <w:p>
      <w:r>
        <w:t xml:space="preserve">§ 4 Abs. 2 Nr. 20 gilt;</w:t>
      </w:r>
    </w:p>
    <w:p>
      <w:r>
        <w:t xml:space="preserve">für den Bereich der Jagd:</w:t>
      </w:r>
    </w:p>
    <w:p>
      <w:r>
        <w:t xml:space="preserve">die rechtmäßige Ausübung der Jagd mit der Maßgabe, dass</w:t>
      </w:r>
    </w:p>
    <w:p>
      <w:r>
        <w:t xml:space="preserve">aa) in der Zeit vom 1. März bis zum 30. Juni eines Jahres innerhalb der in der Übersichtskarte gekennzeichneten Bereiche die Ausübung der Jagd ausschließlich vom Ansitz aus erfolgt,</w:t>
      </w:r>
    </w:p>
    <w:p>
      <w:r>
        <w:t xml:space="preserve">bb) die Jagd auf Wasserwild ausschließlich vom 15. November bis 15. Januar gestattet ist,</w:t>
      </w:r>
    </w:p>
    <w:p>
      <w:r>
        <w:t xml:space="preserve">die Errichtung ortsunveränderlicher jagdlicher Einrichtungen zur Ansitzjagd im Einvernehmen mit der unteren Naturschutzbehörde.</w:t>
      </w:r>
    </w:p>
    <w:p>
      <w:r>
        <w:t xml:space="preserve">Transportable und mobile Ansitzeinrichtungen sind der unteren Naturschutzbehörde vor der Errichtung anzuzeigen,</w:t>
      </w:r>
    </w:p>
    <w:p>
      <w:r>
        <w:t xml:space="preserve">die Anlage von Kirrungen außerhalb gesetzlich geschützter Biotope,</w:t>
      </w:r>
    </w:p>
    <w:p>
      <w:r>
        <w:t xml:space="preserve">die Ausbildung von Hunden mit der Maßgabe, dass diese in der Zeit vom 1. März bis zum 30. Juni und vom 1. Oktober bis zum 15. November jeden Jahres innerhalb der in der Übersichtskarte gekennzeichneten Bereiche unzulässig ist.</w:t>
      </w:r>
    </w:p>
    <w:p>
      <w:r>
        <w:t xml:space="preserve">Unzulässig bleibt die Anlage von Wildfütterungen, Ansaatwildwiesen und Wildäckern;</w:t>
      </w:r>
    </w:p>
    <w:p>
      <w:r>
        <w:t xml:space="preserve">das nicht gewerbliche Sammeln von Pilzen und Waldfrüchten nach dem 30. Juni eines Kalenderjahres;</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VO-ID211963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