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VO-ID211963 (Brandenburg) — In-Kraft-Treten, Außer-Kraft-Treten</w:t>
      </w:r>
    </w:p>
    <w:p>
      <w:r>
        <w:rPr>
          <w:color w:val="555555"/>
          <w:sz w:val="18"/>
        </w:rPr>
        <w:t xml:space="preserve">Verordnung über das Naturschutzgebiet „Lienewitz-Caputher Seen- und Feuchtgebietskette“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Diese Verordnung tritt am Tage nach der Verkündung in Kraft.</w:t>
      </w:r>
    </w:p>
    <w:p>
      <w:r>
        <w:t xml:space="preserve">(2) Gleichzeitig tritt die Anordnung über das Naturschutzgebiet „Karinchen“, festgesetzt in der Anordnung Nr. 3 über Naturschutzgebiete des Vorsitzenden des Landwirtschaftsrates der Deutschen Demokratischen Republik vom 11. September 1967 (GBl. II Nr. 95 vom 19. Oktober 1967 S. 697 - 699), außer Kraft.</w:t>
      </w:r>
    </w:p>
    <w:p>
      <w:r>
        <w:rPr>
          <w:color w:val="555555"/>
          <w:sz w:val="17"/>
        </w:rPr>
        <w:t xml:space="preserve">Zitiervorschlag: § 11 VO-ID211963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https://recht.nulegal.eu/gesetze/VO-ID211963/11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