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 VO-ID211963 (Brandenburg) — Geltendmachen von Rechtsmängeln</w:t>
      </w:r>
    </w:p>
    <w:p>
      <w:r>
        <w:rPr>
          <w:color w:val="555555"/>
          <w:sz w:val="18"/>
        </w:rPr>
        <w:t xml:space="preserve">Verordnung über das Naturschutzgebiet „Lienewitz-Caputher Seen- und Feuchtgebietskette“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Eine Verletzung von Vorschriften des Brandenburgischen Naturschutzgesetzes oder anderer Rechtsvorschriften kann gegen diese Verordnung nur innerhalb von zwei Jahren nach ihrer Verkündung geltend gemacht werden (§ 47 Abs. 1 Nr. 2 und Abs. 2 der Verwaltungsgerichtsordnung in Verbindung mit § 4 Abs. 1 des Brandenburgischen Verwaltungsgerichtsgesetzes).</w:t>
      </w:r>
    </w:p>
    <w:p>
      <w:r>
        <w:rPr>
          <w:color w:val="555555"/>
          <w:sz w:val="17"/>
        </w:rPr>
        <w:t xml:space="preserve">Zitiervorschlag: § 10 VO-ID211963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https://recht.nulegal.eu/gesetze/VO-ID211963/10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