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VO-ID211963 (Brandenburg) — Erklärung zum Schutzgebiet</w:t>
      </w:r>
    </w:p>
    <w:p>
      <w:r>
        <w:rPr>
          <w:color w:val="555555"/>
          <w:sz w:val="18"/>
        </w:rPr>
        <w:t xml:space="preserve">Verordnung über das Naturschutzgebiet „Lienewitz-Caputher Seen- und Feuchtgebietskette“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Potsdam-Mittelmark wird als Naturschutzgebiet festgesetzt. Das Naturschutzgebiet trägt die Bezeichnung „Lienewitz-Caputher Seen- und Feuchtgebietskette“.</w:t>
      </w:r>
    </w:p>
    <w:p>
      <w:r>
        <w:rPr>
          <w:color w:val="555555"/>
          <w:sz w:val="17"/>
        </w:rPr>
        <w:t xml:space="preserve">Zitiervorschlag: § 1 VO-ID211963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