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VO-ID211962 (Brandenburg) — Ordnungswidrigkeiten</w:t>
      </w:r>
    </w:p>
    <w:p>
      <w:r>
        <w:rPr>
          <w:color w:val="555555"/>
          <w:sz w:val="18"/>
        </w:rPr>
        <w:t xml:space="preserve">Verordnung über das Naturschutzgebiet „Stärtchen und Freibusch“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</w:t>
      </w:r>
    </w:p>
    <w:p>
      <w:r>
        <w:t xml:space="preserve">Naturschutzgesetzes handelt, wer vorsätzlich oder fahrlässig den</w:t>
      </w:r>
    </w:p>
    <w:p>
      <w:r>
        <w:t xml:space="preserve">Vorschriften des § 4 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 51</w:t>
      </w:r>
    </w:p>
    <w:p>
      <w:r>
        <w:t xml:space="preserve">129,19 Euro (in Worten: einundfünfzigtausendeinhundertneunundzwanzig Euro,</w:t>
      </w:r>
    </w:p>
    <w:p>
      <w:r>
        <w:t xml:space="preserve">neunzehn Cent) geahndet werden.</w:t>
      </w:r>
    </w:p>
    <w:p>
      <w:r>
        <w:rPr>
          <w:color w:val="555555"/>
          <w:sz w:val="17"/>
        </w:rPr>
        <w:t xml:space="preserve">Zitiervorschlag: § 8 VO-ID211962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https://recht.nulegal.eu/gesetze/VO-ID211962/8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