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VO-ID211962 (Brandenburg) — Zulässige Handlungen</w:t>
      </w:r>
    </w:p>
    <w:p>
      <w:r>
        <w:rPr>
          <w:color w:val="555555"/>
          <w:sz w:val="18"/>
        </w:rPr>
        <w:t xml:space="preserve">Verordnung über das Naturschutzgebiet „Stärtchen und Freibusch“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Ausgenommen von den Verboten des § 4 bleiben folgende Handlungen:</w:t>
      </w:r>
    </w:p>
    <w:p>
      <w:r>
        <w:t xml:space="preserve">die im Sinne des § 11 Abs. 3 des Brandenburgischen</w:t>
      </w:r>
    </w:p>
    <w:p>
      <w:r>
        <w:t xml:space="preserve">Naturschutzgesetzes ordnungsgemäße forstwirtschaftliche</w:t>
      </w:r>
    </w:p>
    <w:p>
      <w:r>
        <w:t xml:space="preserve">Bodennutzung in der bisherigen Art und im bisherigen Umfang auf den</w:t>
      </w:r>
    </w:p>
    <w:p>
      <w:r>
        <w:t xml:space="preserve">bisher rechtmäßig dafür genutzten Flächen mit der</w:t>
      </w:r>
    </w:p>
    <w:p>
      <w:r>
        <w:t xml:space="preserve">Maßgabe, dass</w:t>
      </w:r>
    </w:p>
    <w:p>
      <w:r>
        <w:t xml:space="preserve">nur Baumarten der potenziell natürlichen Vegetation eingebracht</w:t>
      </w:r>
    </w:p>
    <w:p>
      <w:r>
        <w:t xml:space="preserve">werden dürfen,</w:t>
      </w:r>
    </w:p>
    <w:p>
      <w:r>
        <w:t xml:space="preserve">§ 4 Abs. 2 Nr. 20 gilt,</w:t>
      </w:r>
    </w:p>
    <w:p>
      <w:r>
        <w:t xml:space="preserve">zusätzlich innerhalb der Zone 1</w:t>
      </w:r>
    </w:p>
    <w:p>
      <w:r>
        <w:t xml:space="preserve">aa)die forstliche Bodennutzung als naturnaher Wald ausschließlich zum</w:t>
      </w:r>
    </w:p>
    <w:p>
      <w:r>
        <w:t xml:space="preserve">Erhalt der in § 3 Abs. 2 aufgeführten Waldgesellschaften</w:t>
      </w:r>
    </w:p>
    <w:p>
      <w:r>
        <w:t xml:space="preserve">durchgeführt wird,</w:t>
      </w:r>
    </w:p>
    <w:p>
      <w:r>
        <w:t xml:space="preserve">bb)Bodenbearbeitung, Düngung, Kalkung und Entwässerung unterlassen</w:t>
      </w:r>
    </w:p>
    <w:p>
      <w:r>
        <w:t xml:space="preserve">werden,</w:t>
      </w:r>
    </w:p>
    <w:p>
      <w:r>
        <w:t xml:space="preserve">cc) die Bestandsbegründung über Naturverjüngung und in</w:t>
      </w:r>
    </w:p>
    <w:p>
      <w:r>
        <w:t xml:space="preserve">begründeten Ausnahmefällen über Ergänzungspflanzungen</w:t>
      </w:r>
    </w:p>
    <w:p>
      <w:r>
        <w:t xml:space="preserve">unter Verwendung autochthonen Pflan zgutes als Handpflanzung erfolgt,</w:t>
      </w:r>
    </w:p>
    <w:p>
      <w:r>
        <w:t xml:space="preserve">dd) Totholz in allen Ausprägungen (stehend, liegend, alle</w:t>
      </w:r>
    </w:p>
    <w:p>
      <w:r>
        <w:t xml:space="preserve">Zersetzungsphasen) im Bestand verbleibt,</w:t>
      </w:r>
    </w:p>
    <w:p>
      <w:r>
        <w:t xml:space="preserve">ee) ausschließlich Einzelstamm- oder Kleingruppennutzung (zwei bis</w:t>
      </w:r>
    </w:p>
    <w:p>
      <w:r>
        <w:t xml:space="preserve">fünf Stämme) nach Zielstärken erfolgt,</w:t>
      </w:r>
    </w:p>
    <w:p>
      <w:r>
        <w:t xml:space="preserve">ff) die Nutzung von Alteichen über 0,8 Meter Stammdurchmesser in 1,3</w:t>
      </w:r>
    </w:p>
    <w:p>
      <w:r>
        <w:t xml:space="preserve">Metern Höhe über dem Stammfuß unterlassen wird,</w:t>
      </w:r>
    </w:p>
    <w:p>
      <w:r>
        <w:t xml:space="preserve">gg) Holzeinschlag in den nassen bis feuchten Bereichen nur bei gefrorenem Boden</w:t>
      </w:r>
    </w:p>
    <w:p>
      <w:r>
        <w:t xml:space="preserve">und mit Hilfe seilwindengestützter Rückeverfahren</w:t>
      </w:r>
    </w:p>
    <w:p>
      <w:r>
        <w:t xml:space="preserve">durchgeführt wird;</w:t>
      </w:r>
    </w:p>
    <w:p>
      <w:r>
        <w:t xml:space="preserve">für den Bereich der Jagd:</w:t>
      </w:r>
    </w:p>
    <w:p>
      <w:r>
        <w:t xml:space="preserve">die rechtmäßige Ausübung der Jagd mit der Maßgabe,</w:t>
      </w:r>
    </w:p>
    <w:p>
      <w:r>
        <w:t xml:space="preserve">dass</w:t>
      </w:r>
    </w:p>
    <w:p>
      <w:r>
        <w:t xml:space="preserve">aa) die Jagd in der Zeit vom 15. März bis 31. August eines Jahres</w:t>
      </w:r>
    </w:p>
    <w:p>
      <w:r>
        <w:t xml:space="preserve">ausschließlich vom Ansitz aus erfolgt,</w:t>
      </w:r>
    </w:p>
    <w:p>
      <w:r>
        <w:t xml:space="preserve">bb) die Anlage von Kirrungen außerhalb der Zone 1 und außerhalb</w:t>
      </w:r>
    </w:p>
    <w:p>
      <w:r>
        <w:t xml:space="preserve">gesetzlich geschützter Biotope erfolgt,</w:t>
      </w:r>
    </w:p>
    <w:p>
      <w:r>
        <w:t xml:space="preserve">die Anlage jagdlicher Einrichtungen zur Ansitzjagd mit der Maßgabe,</w:t>
      </w:r>
    </w:p>
    <w:p>
      <w:r>
        <w:t xml:space="preserve">dass diese innerhalb der Zone 1 mit Zustimmung der unteren</w:t>
      </w:r>
    </w:p>
    <w:p>
      <w:r>
        <w:t xml:space="preserve">Naturschutzbehörde erfolgt. Unzulässig bleibt die Anlage und</w:t>
      </w:r>
    </w:p>
    <w:p>
      <w:r>
        <w:t xml:space="preserve">Unterhaltung von Wildfütterungen, Ansaatwiesen und Wildäckern sowie</w:t>
      </w:r>
    </w:p>
    <w:p>
      <w:r>
        <w:t xml:space="preserve">die Ausbildung von Hunden;</w:t>
      </w:r>
    </w:p>
    <w:p>
      <w:r>
        <w:t xml:space="preserve">das nicht gewerbliche Sammeln von Pilzen und Waldfrüchten</w:t>
      </w:r>
    </w:p>
    <w:p>
      <w:r>
        <w:t xml:space="preserve">außerhalb der Zone 1 nach dem 31. August eines Kalenderjahres;</w:t>
      </w:r>
    </w:p>
    <w:p>
      <w:r>
        <w:t xml:space="preserve">die im Sinne des § 10 des Brandenburgischen Straßengesetzes</w:t>
      </w:r>
    </w:p>
    <w:p>
      <w:r>
        <w:t xml:space="preserve">ordnungsgemäße Unterhaltung der dem öffentlichen Verkehr</w:t>
      </w:r>
    </w:p>
    <w:p>
      <w:r>
        <w:t xml:space="preserve">gewidmeten Straßen und Wege, die im Sinne des § 78 des</w:t>
      </w:r>
    </w:p>
    <w:p>
      <w:r>
        <w:t xml:space="preserve">Brandenburgischen Wassergesetzes ordnungsgemäße Unterhaltung der</w:t>
      </w:r>
    </w:p>
    <w:p>
      <w:r>
        <w:t xml:space="preserve">Gewässer sowie die ordnungsgemäße Unterhaltung sonstiger</w:t>
      </w:r>
    </w:p>
    <w:p>
      <w:r>
        <w:t xml:space="preserve">rechtmäßig bestehender Anlagen jeweils im Einvernehmen mit der</w:t>
      </w:r>
    </w:p>
    <w:p>
      <w:r>
        <w:t xml:space="preserve">unteren Naturschutzbehörde;</w:t>
      </w:r>
    </w:p>
    <w:p>
      <w:r>
        <w:t xml:space="preserve">die sonstigen bei In-Kraft-Treten dieser Verordnung auf Grund</w:t>
      </w:r>
    </w:p>
    <w:p>
      <w:r>
        <w:t xml:space="preserve">behördlicher Einzelfallentscheidung rechtmäßig</w:t>
      </w:r>
    </w:p>
    <w:p>
      <w:r>
        <w:t xml:space="preserve">ausgeübten Nutzungen und Befugnisse in der bisherigen Art und im</w:t>
      </w:r>
    </w:p>
    <w:p>
      <w:r>
        <w:t xml:space="preserve">bisherigen Umfang;</w:t>
      </w:r>
    </w:p>
    <w:p>
      <w:r>
        <w:t xml:space="preserve">Maßnahmen zur Untersuchung von Altlastenverdachtsflächen und</w:t>
      </w:r>
    </w:p>
    <w:p>
      <w:r>
        <w:t xml:space="preserve">Verdachtsflächen sowie Maßnahmen der Altlastensanierung und der</w:t>
      </w:r>
    </w:p>
    <w:p>
      <w:r>
        <w:t xml:space="preserve">Sanierung schädlicher Bodenveränderungen gemäß</w:t>
      </w:r>
    </w:p>
    <w:p>
      <w:r>
        <w:t xml:space="preserve">Bundes-Bodenschutzgesetz sowie Maßnahmen der Munitionsräumung im</w:t>
      </w:r>
    </w:p>
    <w:p>
      <w:r>
        <w:t xml:space="preserve">Einvernehmen mit der unteren Naturschutzbehörde;</w:t>
      </w:r>
    </w:p>
    <w:p>
      <w:r>
        <w:t xml:space="preserve">Schutz-, Pflege- und Entwicklungsmaßnahmen, die von der</w:t>
      </w:r>
    </w:p>
    <w:p>
      <w:r>
        <w:t xml:space="preserve">zuständigen Naturschutzbehörde angeordnet worden sind;</w:t>
      </w:r>
    </w:p>
    <w:p>
      <w:r>
        <w:t xml:space="preserve">behördliche sowie behördlich angeordnete oder zugelassene</w:t>
      </w:r>
    </w:p>
    <w:p>
      <w:r>
        <w:t xml:space="preserve">Beschilderungen, soweit sie auf den Schutzzweck des Gebietes hinweisen oder als</w:t>
      </w:r>
    </w:p>
    <w:p>
      <w:r>
        <w:t xml:space="preserve">hoheitliche Kennzeichnungen, Orts- oder Verkehrshinweise, Wegemarkierungen oder</w:t>
      </w:r>
    </w:p>
    <w:p>
      <w:r>
        <w:t xml:space="preserve">Warntafeln dienen;</w:t>
      </w:r>
    </w:p>
    <w:p>
      <w:r>
        <w:t xml:space="preserve">Maßnahmen, die der Abwehr einer unmittelbar drohenden Gefahr</w:t>
      </w:r>
    </w:p>
    <w:p>
      <w:r>
        <w:t xml:space="preserve">für die öffentliche Sicherheit und Ordnung dienen. Die untere</w:t>
      </w:r>
    </w:p>
    <w:p>
      <w:r>
        <w:t xml:space="preserve">Naturschutzbehörde ist über die getroffenen Maßnahmen</w:t>
      </w:r>
    </w:p>
    <w:p>
      <w:r>
        <w:t xml:space="preserve">unverzüglich zu unterrichten. Sie kann nachträglich ergänzende</w:t>
      </w:r>
    </w:p>
    <w:p>
      <w:r>
        <w:t xml:space="preserve">Anordnungen zur Vereinbarkeit mit dem Schutzzweck treffen.</w:t>
      </w:r>
    </w:p>
    <w:p>
      <w:r>
        <w:t xml:space="preserve">(2) Die in § 4 für das Betreten und Befahren des</w:t>
      </w:r>
    </w:p>
    <w:p>
      <w:r>
        <w:t xml:space="preserve">Naturschutzgebietes enthaltenen Einschränkungen gelten nicht für die</w:t>
      </w:r>
    </w:p>
    <w:p>
      <w:r>
        <w:t xml:space="preserve">Dienstkräfte der Naturschutzbehörden, die zuständigen</w:t>
      </w:r>
    </w:p>
    <w:p>
      <w:r>
        <w:t xml:space="preserve">Naturschutzhelfer und sonstige von den Naturschutzbehörden beauftragte</w:t>
      </w:r>
    </w:p>
    <w:p>
      <w:r>
        <w:t xml:space="preserve">Personen sowie für Dienstkräfte und beauftragte Personen anderer</w:t>
      </w:r>
    </w:p>
    <w:p>
      <w:r>
        <w:t xml:space="preserve">zuständiger Behörden und Einrichtungen, soweit diese in Wahrnehmung</w:t>
      </w:r>
    </w:p>
    <w:p>
      <w:r>
        <w:t xml:space="preserve">ihrer gesetzlichen Aufgaben handeln. Der Genehmigungsvorbehalt nach § 19</w:t>
      </w:r>
    </w:p>
    <w:p>
      <w:r>
        <w:t xml:space="preserve">Abs. 3 Satz 2 des Landeswaldgesetzes bleibt unberührt.</w:t>
      </w:r>
    </w:p>
    <w:p>
      <w:r>
        <w:rPr>
          <w:color w:val="555555"/>
          <w:sz w:val="17"/>
        </w:rPr>
        <w:t xml:space="preserve">Zitiervorschlag: § 5 VO-ID211962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https://recht.nulegal.eu/gesetze/VO-ID211962/5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