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VO-ID211962 (Brandenburg) — Schutzzweck</w:t>
      </w:r>
    </w:p>
    <w:p>
      <w:r>
        <w:rPr>
          <w:color w:val="555555"/>
          <w:sz w:val="18"/>
        </w:rPr>
        <w:t xml:space="preserve">Verordnung über das Naturschutzgebiet „Stärtchen und Freibusch“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 „Stärtchen und</w:t>
      </w:r>
    </w:p>
    <w:p>
      <w:r>
        <w:t xml:space="preserve">Freibusch“ als naturnahe Waldformation, die einen weitgehend der</w:t>
      </w:r>
    </w:p>
    <w:p>
      <w:r>
        <w:t xml:space="preserve">potenziell natürlichen Vegetation entsprechenden Ausschnitt des Baruther</w:t>
      </w:r>
    </w:p>
    <w:p>
      <w:r>
        <w:t xml:space="preserve">Urstromtales darstellt, ist</w:t>
      </w:r>
    </w:p>
    <w:p>
      <w:r>
        <w:t xml:space="preserve">die Erhaltung und Entwicklung der Lebensräume wild lebender</w:t>
      </w:r>
    </w:p>
    <w:p>
      <w:r>
        <w:t xml:space="preserve">Pflanzenarten, darunter einiger nach § 10 Abs. 2 Nr. 10 des</w:t>
      </w:r>
    </w:p>
    <w:p>
      <w:r>
        <w:t xml:space="preserve">Bundesnaturschutzgesetzes besonders geschützter Arten, beispielsweise</w:t>
      </w:r>
    </w:p>
    <w:p>
      <w:r>
        <w:t xml:space="preserve">Königsfarn (Osmunda regalis), Leberblümchen (Hepatica nobilis) oder</w:t>
      </w:r>
    </w:p>
    <w:p>
      <w:r>
        <w:t xml:space="preserve">Wasserfeder (Hottonia palustris);</w:t>
      </w:r>
    </w:p>
    <w:p>
      <w:r>
        <w:t xml:space="preserve">die Erhaltung und Entwicklung des Gebietes als Lebens- beziehungsweise</w:t>
      </w:r>
    </w:p>
    <w:p>
      <w:r>
        <w:t xml:space="preserve">Rückzugsraum und potenzielles Wiederausbreitungszentrum wild lebender</w:t>
      </w:r>
    </w:p>
    <w:p>
      <w:r>
        <w:t xml:space="preserve">Tierarten, darunter einiger nach § 10 Abs. 2 Nr. 10 und 11 des</w:t>
      </w:r>
    </w:p>
    <w:p>
      <w:r>
        <w:t xml:space="preserve">Bundesnaturschutzgesetzes besonders und streng geschützter Vogelarten,</w:t>
      </w:r>
    </w:p>
    <w:p>
      <w:r>
        <w:t xml:space="preserve">beispielsweise Kranich (Grus grus), Turteltaube (Streptopelia turtur) und</w:t>
      </w:r>
    </w:p>
    <w:p>
      <w:r>
        <w:t xml:space="preserve">Wendehals (Jynx torquilla);</w:t>
      </w:r>
    </w:p>
    <w:p>
      <w:r>
        <w:t xml:space="preserve">die Erhaltung der Waldgesellschaften wegen ihrer Seltenheit und besonderen</w:t>
      </w:r>
    </w:p>
    <w:p>
      <w:r>
        <w:t xml:space="preserve">Eigenart als typische Waldformation für das Baruther Urstromtal;</w:t>
      </w:r>
    </w:p>
    <w:p>
      <w:r>
        <w:t xml:space="preserve">die Erhaltung und Entwicklung des Gebietes als wesentlicher Teil des</w:t>
      </w:r>
    </w:p>
    <w:p>
      <w:r>
        <w:t xml:space="preserve">überregionalen Biotopverbundes innerhalb des Baruther Urstromtales und</w:t>
      </w:r>
    </w:p>
    <w:p>
      <w:r>
        <w:t xml:space="preserve">dabei insbesondere zwischen den Gebieten Zarth im Westen und Schöbendorfer</w:t>
      </w:r>
    </w:p>
    <w:p>
      <w:r>
        <w:t xml:space="preserve">Busch sowie Glashütte-Mochheide im Osten.</w:t>
      </w:r>
    </w:p>
    <w:p>
      <w:r>
        <w:t xml:space="preserve">(2) Die Unterschutzstellung dient der Erhaltung und Entwicklung:</w:t>
      </w:r>
    </w:p>
    <w:p>
      <w:r>
        <w:t xml:space="preserve">von mitteleuropäischem Stieleichenwald oder Hainbuchenwald und altem</w:t>
      </w:r>
    </w:p>
    <w:p>
      <w:r>
        <w:t xml:space="preserve">bodensauren Eichenwald auf Sandebenen mit Quercus robur als Lebensraumtypen</w:t>
      </w:r>
    </w:p>
    <w:p>
      <w:r>
        <w:t xml:space="preserve">nach Anhang I der Richtlinie 92/43/EWG des Rates vom 21. Mai 1992 zur Erhaltung</w:t>
      </w:r>
    </w:p>
    <w:p>
      <w:r>
        <w:t xml:space="preserve">der natürlichen Lebensräume sowie der wild lebenden Tiere und</w:t>
      </w:r>
    </w:p>
    <w:p>
      <w:r>
        <w:t xml:space="preserve">Pflanzen (ABl. EG Nr. L 206 S. 7), zuletzt geändert durch Richtlinie</w:t>
      </w:r>
    </w:p>
    <w:p>
      <w:r>
        <w:t xml:space="preserve">97/62/EG vom 27. Oktober 1997 (ABl. EG Nr. L 305 S. 42) -</w:t>
      </w:r>
    </w:p>
    <w:p>
      <w:r>
        <w:t xml:space="preserve">Fauna-Flora-Habitat-Richtlinie;</w:t>
      </w:r>
    </w:p>
    <w:p>
      <w:r>
        <w:t xml:space="preserve">von Auen-Wäldern mit Alnus glutinosa und Fraxinus excelsior als</w:t>
      </w:r>
    </w:p>
    <w:p>
      <w:r>
        <w:t xml:space="preserve">prioritärer Lebensraumtyp nach Anhang I der</w:t>
      </w:r>
    </w:p>
    <w:p>
      <w:r>
        <w:t xml:space="preserve">Fauna-Flora-Habitat-Richtlinie;</w:t>
      </w:r>
    </w:p>
    <w:p>
      <w:r>
        <w:t xml:space="preserve">der Population des Eichenbocks (Cerambyx cerdo) als Tierart nach Anhang II</w:t>
      </w:r>
    </w:p>
    <w:p>
      <w:r>
        <w:t xml:space="preserve">der Fauna-Flora-Habitat-Richtlinie, einschließlich ihrer für</w:t>
      </w:r>
    </w:p>
    <w:p>
      <w:r>
        <w:t xml:space="preserve">Fortpflanzung, Ernährung, Wanderung und Überwinterung wichtigen</w:t>
      </w:r>
    </w:p>
    <w:p>
      <w:r>
        <w:t xml:space="preserve">Lebensräume;</w:t>
      </w:r>
    </w:p>
    <w:p>
      <w:r>
        <w:t xml:space="preserve">der Population des Eremiten (Osmoderma eremita) als prioritäre</w:t>
      </w:r>
    </w:p>
    <w:p>
      <w:r>
        <w:t xml:space="preserve">Tierart nach Anhang II der Fauna-Flora-Habitat-Richtlinie, einschließlich</w:t>
      </w:r>
    </w:p>
    <w:p>
      <w:r>
        <w:t xml:space="preserve">ihrer für Fortpflanzung, Ernährung, Wanderung und Überwinterung</w:t>
      </w:r>
    </w:p>
    <w:p>
      <w:r>
        <w:t xml:space="preserve">wichtigen Lebensräume.</w:t>
      </w:r>
    </w:p>
    <w:p>
      <w:r>
        <w:rPr>
          <w:color w:val="555555"/>
          <w:sz w:val="17"/>
        </w:rPr>
        <w:t xml:space="preserve">Zitiervorschlag: § 3 VO-ID211962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