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VO-ID211961 (Brandenburg) — Schutzzweck</w:t>
      </w:r>
    </w:p>
    <w:p>
      <w:r>
        <w:rPr>
          <w:color w:val="555555"/>
          <w:sz w:val="18"/>
        </w:rPr>
        <w:t xml:space="preserve">Verordnung über das Naturschutzgebiet „Zschornoer 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 Naturschutzgebietes im Bereich des ehemaligen Truppenübungsplatzes Jerischke mit seinen für das Lausitzer Becken- und Heideland typischen großräumigen Kiefernwäldern und Heideflächen sowie kleinflächigen Feuchtbereichen ist</w:t>
      </w:r>
    </w:p>
    <w:p>
      <w:r>
        <w:t xml:space="preserve">die Erhaltung und Entwicklung</w:t>
      </w:r>
    </w:p>
    <w:p>
      <w:r>
        <w:t xml:space="preserve">als Lebensraum wild lebender Pflanzengesellschaften- und -arten, insbesondere der nach § 10 Abs. 2 des Bundesnaturschutzgesetzes besonders geschützten Arten der Sandtrockenheiden, Zwergstrauch-Kiefernwälder, Feuchtwiesen und Moore,</w:t>
      </w:r>
    </w:p>
    <w:p>
      <w:r>
        <w:t xml:space="preserve">als Lebensraum wild lebender Tierarten, insbesondere als bedeutsames Brutgebiet für Vogelarten offener Heidelandschaften und naturnaher Waldbestände, darunter zahlreicher nach § 10 Abs. 2 des Bundesnaturschutzgesetzes streng geschützter Arten, wie beispielsweise Ziegenmelker, Heidelerche, Raubwürger, Brachpieper und Schwarzspecht,</w:t>
      </w:r>
    </w:p>
    <w:p>
      <w:r>
        <w:t xml:space="preserve">als Lebensraum der sonstigen Tierarten und -lebensgemeinschaften der Heiden, Wälder und eingesprengten Moor- und Feuchtflächen, insbesondere für nach § 10 Abs. 2 des Bundesnaturschutzgesetzes besonders und streng geschützte Arten der Säugetiere, Lurche, Kriechtiere und Insekten,</w:t>
      </w:r>
    </w:p>
    <w:p>
      <w:r>
        <w:t xml:space="preserve">als Lebens- beziehungsweise Rückzugsraum und potenzielles Wiederausbreitungszentrum für das Birkhuhn;</w:t>
      </w:r>
    </w:p>
    <w:p>
      <w:r>
        <w:t xml:space="preserve">die Entwicklung naturferner Forsten zu natürlichen Waldgesellschaften, insbesondere der Traubeneichen-Kiefern-Wälder und Entwicklung von strukturreichen Altholzbeständen;</w:t>
      </w:r>
    </w:p>
    <w:p>
      <w:r>
        <w:t xml:space="preserve">die Erhaltung und Entwicklung eines großflächig störungsarmen und unzerschnittenen Landschaftsausschnittes als Rückzugsraum für störungsempfindliche Arten;</w:t>
      </w:r>
    </w:p>
    <w:p>
      <w:r>
        <w:t xml:space="preserve">die Sicherung des überregionalen Biotopverbundes mit Gebieten ähnlicher Naturausstattung, insbesondere in der Bergbaufolgelandschaft und auf Truppenübungsplätzen in Süd-Brandenburg, Nord-Sachsen und angrenzenden Bereichen in der Republik Polen;</w:t>
      </w:r>
    </w:p>
    <w:p>
      <w:r>
        <w:t xml:space="preserve">die Erhaltung eines naturgeschichtlich und landeskundlich wertvollen Bereiches.</w:t>
      </w:r>
    </w:p>
    <w:p>
      <w:r>
        <w:rPr>
          <w:color w:val="555555"/>
          <w:sz w:val="17"/>
        </w:rPr>
        <w:t xml:space="preserve">Zitiervorschlag: § 3 VO-ID211961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https://recht.nulegal.eu/gesetze/VO-ID211961/3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VO-ID211961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