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VO-ID211960 (Brandenburg) — Zulässige Handlungen</w:t>
      </w:r>
    </w:p>
    <w:p>
      <w:r>
        <w:rPr>
          <w:color w:val="555555"/>
          <w:sz w:val="18"/>
        </w:rPr>
        <w:t xml:space="preserve">Verordnung über das Naturschutzgebiet „Seeburger Fenn - Sümpelfichten“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die im Sinne des § 11 Abs. 2 des Brandenburgischen Naturschutzgesetzes ordnungsgemäße landwirtschaftliche Bodennutzung auf den bisher rechtmäßig dafür genutzten Flächen;</w:t>
      </w:r>
    </w:p>
    <w:p>
      <w:r>
        <w:t xml:space="preserve">die im Sinne des § 11 Abs. 3 des Brandenburgischen Naturschutzgesetzes ordnungsgemäße forstwirtschaftliche Bodennutzung mit der Maßgabe, dass</w:t>
      </w:r>
    </w:p>
    <w:p>
      <w:r>
        <w:t xml:space="preserve">das der potenziellen natürlichen Vegetation entsprechende Baumartenspektrum auf Sukzessionsflächen zu erhalten und in den bestehenden Kiefernforsten langfristig über naturgemäßen Waldbau wiederherzustellen ist,</w:t>
      </w:r>
    </w:p>
    <w:p>
      <w:r>
        <w:t xml:space="preserve">bei der Bestandsgründung der Naturverjüngung über natürliche Sukzession der Vorrang gegenüber Pflanzung einzuräumen ist,</w:t>
      </w:r>
    </w:p>
    <w:p>
      <w:r>
        <w:t xml:space="preserve">die Gehölz- und Waldentwicklung in und im Umkreis von 50 Metern um die Moore fortwirtschaftlich nicht beeinflusst wird,</w:t>
      </w:r>
    </w:p>
    <w:p>
      <w:r>
        <w:t xml:space="preserve">das Verbot des § 4 Abs. 2 Nr. 22 gilt,</w:t>
      </w:r>
    </w:p>
    <w:p>
      <w:r>
        <w:t xml:space="preserve">Kahlschläge über 1 Hektar verboten sind,</w:t>
      </w:r>
    </w:p>
    <w:p>
      <w:r>
        <w:t xml:space="preserve">der Anteil von Alt- und Totholz rund 10 vom Hundert des stehenden Vorrats nicht unterschreiten soll,</w:t>
      </w:r>
    </w:p>
    <w:p>
      <w:r>
        <w:t xml:space="preserve">keine Horst- oder Höhlenbäume entfernt werden dürfen;</w:t>
      </w:r>
    </w:p>
    <w:p>
      <w:r>
        <w:t xml:space="preserve">die im Sinne des § 11 Abs. 4 des Brandenburgischen Naturschutzgesetzes in Verbindung mit § 1 Abs. 1 und 2 des Fischereigesetzes für das Land Brandenburg ordnungsgemäße fischereiwirtschaftliche Flächennutzung auf den bisher rechtmäßig genutzten Flächen;</w:t>
      </w:r>
    </w:p>
    <w:p>
      <w:r>
        <w:t xml:space="preserve">die rechtmäßige Ausübung der Jagd mit der Maßgabe, dass</w:t>
      </w:r>
    </w:p>
    <w:p>
      <w:r>
        <w:t xml:space="preserve">die Neuanlage von Wildäckern oder Ansaatwildwiesen verboten ist,</w:t>
      </w:r>
    </w:p>
    <w:p>
      <w:r>
        <w:t xml:space="preserve">die Anlage von Kirrungen in Feuchtgebieten, im Flechten-Kiefernwald oder auf Trockenrasen verboten ist;</w:t>
      </w:r>
    </w:p>
    <w:p>
      <w:r>
        <w:t xml:space="preserve">die im Sinne des § 10 des Brandenburgischen Straßengesetzes ordnungsgemäße Unterhaltung der dem öffentlichen Verkehr gewidmeten Straßen und Wege, die im Sinne des § 78 des Brandenburgischen Wassergesetzes ordnungsgemäße Unterhaltung der Gewässer sowie die ordnungsgemäße Unterhaltung sonstiger rechtmäßig bestehender Anlagen jeweils im Einvernehmen mit der unteren Naturschutzbehörde;</w:t>
      </w:r>
    </w:p>
    <w:p>
      <w:r>
        <w:t xml:space="preserve">die sonstigen bei In-Kraft-Treten dieser Verordnung aufgrund behördlicher Einzelfallentscheidung rechtmäßig ausgeübten Nutzungen und Befugnisse in der bisherigen Art und im bisherigen Umfang;</w:t>
      </w:r>
    </w:p>
    <w:p>
      <w:r>
        <w:t xml:space="preserve">Schutz-, Pflege- und Entwicklungsmaßnahmen, die von der zuständigen Naturschutzbehörde angeordnet sind;</w:t>
      </w:r>
    </w:p>
    <w:p>
      <w:r>
        <w:t xml:space="preserve">Maßnahmen zur Untersuchung von Altlastenverdachtsflächen und Verdachtsflächen sowie Maßnahmen der Altlastensanierung und der Sanierung schädlicher Bodenveränderungen gemäß Bundes-Bodenschutzgesetz sowie Maßnahmen der Munitionsräumung im Einvernehmen mit der unteren Naturschutzbehörde;</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VO-ID211960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https://recht.nulegal.eu/gesetze/VO-ID211960/5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