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VO-ID211960 (Brandenburg) — Schutzzweck</w:t>
      </w:r>
    </w:p>
    <w:p>
      <w:r>
        <w:rPr>
          <w:color w:val="555555"/>
          <w:sz w:val="18"/>
        </w:rPr>
        <w:t xml:space="preserve">Verordnung über das Naturschutzgebiet „Seeburger Fenn - Sümpelfichten“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ist:</w:t>
      </w:r>
    </w:p>
    <w:p>
      <w:r>
        <w:t xml:space="preserve">die Sicherung und Entwicklung einer strukturreichen Landschaft mit Feuchtgebieten und Kleinge- wässern;</w:t>
      </w:r>
    </w:p>
    <w:p>
      <w:r>
        <w:t xml:space="preserve">die Sicherung von Standorten für typische, seltene und in ihrem Bestand gefährdete wild wachsende Pflanzengesellschaften, insbesondere von wechselfeuchten Wiesen und Erlenbruchwäldern;</w:t>
      </w:r>
    </w:p>
    <w:p>
      <w:r>
        <w:t xml:space="preserve">der Erhalt eines mannigfaltigen Komplexes von Stillgewässern und Niedermooren unterschiedlicher Trophie mit dem Vorkommen seltener, gefährdeter und charakteristischer Lebensgemeinschaften, insbesondere der Wasserpflanzengesellschaften, Röhrichte und Seggenriede der Zwischen- und Hochmoorgesellschaften und der Moor- und Bruchwälder;</w:t>
      </w:r>
    </w:p>
    <w:p>
      <w:r>
        <w:t xml:space="preserve">der Erhalt von Lebensraum typischer, seltener und in ihrem Bestand gefährdeter Tierarten der Feuchtgebiete, insbesondere für Greifvögel und Arten gemäß § 10 des Bundesnaturschutzgesetzes, sowie die Sicherung eines weiträumigen Waldgebietes als Schutz- und Pufferzone für störungsempfindliche Tierarten, sowie die Sicherung eines Wiederausbreitungszentrums für die benachbarten Schutzgebiete;</w:t>
      </w:r>
    </w:p>
    <w:p>
      <w:r>
        <w:t xml:space="preserve">die Erhaltung und Entwicklung des Gebietes aus ökologischen Gründen und zur Herstellung des Biotopverbundes vom Naturschutzgebiet „Döberitzer Heide” zu den Schutzgebieten der Gatower Heide bis zum Breitehorn am Havelufer;</w:t>
      </w:r>
    </w:p>
    <w:p>
      <w:r>
        <w:t xml:space="preserve">die Erhaltung der Sukzessionsflächen für die wissenschaftliche Beobachtung der natürlichen Vegetationsdynamik, der Wald-Ökosystemforschung und der Lebensräume auf derartige Flächen spezialisierter Pflanzen- und Tierarten.</w:t>
      </w:r>
    </w:p>
    <w:p>
      <w:r>
        <w:rPr>
          <w:color w:val="555555"/>
          <w:sz w:val="17"/>
        </w:rPr>
        <w:t xml:space="preserve">Zitiervorschlag: § 3 VO-ID211960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https://recht.nulegal.eu/gesetze/VO-ID211960/3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VO-ID211960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