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VO-ID211952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„Briesensee und Klingeberg“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 und Entwicklungsmaßnahmen werden als Zielvorgabe benannt:</w:t>
      </w:r>
    </w:p>
    <w:p>
      <w:r>
        <w:t xml:space="preserve">Die Erhaltung und die Wiederherstellung der artenreichen Feuchtwiesen südlich des Briesensees (auf den Flurstücken4/2 der Flur 5 und 48 der Flur 6 der Gemarkung Tornow) soll im Rahmen von Pflegemaßnahmen, insbesondere durch Entbuschung und Mahd, erfolgen.</w:t>
      </w:r>
    </w:p>
    <w:p>
      <w:r>
        <w:t xml:space="preserve">Die durch Tritteinwirkungen geschädigten und gefährdeten Steiluferbereiche südlich des Tornowsees (auf dem Flurstück 4/2 der Flur 5 der Gemarkung Tornow) sollen durch Absperrungen gesichert werden.</w:t>
      </w:r>
    </w:p>
    <w:p>
      <w:r>
        <w:t xml:space="preserve">Zur Förderung der natürlichen Waldentwicklung, insbesondere der Naturverjüngung sowie für Dokumentations- und Forschungsvorhaben, sollen einzelne Waldbereiche zeitweilig eingezäunt werden.</w:t>
      </w:r>
    </w:p>
    <w:p>
      <w:r>
        <w:t xml:space="preserve">Die ehemaligen Tongruben sollen von Ablagerungen beräumt werden.</w:t>
      </w:r>
    </w:p>
    <w:p>
      <w:r>
        <w:rPr>
          <w:color w:val="555555"/>
          <w:sz w:val="17"/>
        </w:rPr>
        <w:t xml:space="preserve">Zitiervorschlag: § 6 VO-ID211952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https://recht.nulegal.eu/gesetze/VO-ID211952/6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