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VO-ID211950 (Brandenburg) — Verhältnis zu anderen naturschutzrechtlichen Bestimmungen</w:t>
      </w:r>
    </w:p>
    <w:p>
      <w:r>
        <w:rPr>
          <w:color w:val="555555"/>
          <w:sz w:val="18"/>
        </w:rPr>
        <w:t xml:space="preserve">Verordnung über das Naturschutzgebiet „Pätzer Kiesgrube“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wildlebender Tier- und Pflanzenarten (§§ 20 bis 26b des Bundesnaturschutzgesetzes, §§ 37 bis 43 des Brandenburgischen Naturschutzgesetzes) unberührt.</w:t>
      </w:r>
    </w:p>
    <w:p>
      <w:r>
        <w:rPr>
          <w:color w:val="555555"/>
          <w:sz w:val="17"/>
        </w:rPr>
        <w:t xml:space="preserve">Zitiervorschlag: § 8 VO-ID211950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https://recht.nulegal.eu/gesetze/VO-ID211950/8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