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VO-ID211950 (Brandenburg) — Zulässige Handlungen</w:t>
      </w:r>
    </w:p>
    <w:p>
      <w:r>
        <w:rPr>
          <w:color w:val="555555"/>
          <w:sz w:val="18"/>
        </w:rPr>
        <w:t xml:space="preserve">Verordnung über das Naturschutzgebiet „Pätzer Kiesgrube“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3 des Brandenburgischen Naturschutzgesetzes ordnungsgemäße forstwirtschaftliche Bodennutzung;</w:t>
      </w:r>
    </w:p>
    <w:p>
      <w:r>
        <w:t xml:space="preserve">die rechtmäßige Ausübung der Jagd;</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der rechtmäßige Abbau und der weitere Betrieb der Kiesgrube einschließlich der Errichtung und Unterhaltung der dafür erforderlichen Einrichtungen innerhalb des Bewilligungsfeldes „Pätz“, hierbei ist der Schutzzweck des Naturschutzgebietes zu gewährleisten;</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 nahmen der Munitionsräumung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VO-ID211950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