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VO-ID211950 (Brandenburg) — Schutzzweck</w:t>
      </w:r>
    </w:p>
    <w:p>
      <w:r>
        <w:rPr>
          <w:color w:val="555555"/>
          <w:sz w:val="18"/>
        </w:rPr>
        <w:t xml:space="preserve">Verordnung über das Naturschutzgebiet „Pätzer Kiesgrube“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Schutzzweck des Naturschutzgebietes ist</w:t>
      </w:r>
    </w:p>
    <w:p>
      <w:r>
        <w:t xml:space="preserve">die Erhaltung und Entwicklung</w:t>
      </w:r>
    </w:p>
    <w:p>
      <w:r>
        <w:t xml:space="preserve">als Lebensraum wildlebender Pflanzengesellschaften, insbesondere licht- und wärmeexponierter Standorte, wie Sandfluren, Trockenrasen, Gehölz- und Waldbestände, sowie mesotropher Gewässer, Verlandungsröhrichte und Vorwälder der Feuchtgebiete,</w:t>
      </w:r>
    </w:p>
    <w:p>
      <w:r>
        <w:t xml:space="preserve">als Lebensraum wildlebender Tierarten, insbesondere der an nährstoffarme, halboffene und strukturreiche Lebensräume angepassten Vogelarten, Insekten sowie Lurche und Kriechtiere,</w:t>
      </w:r>
    </w:p>
    <w:p>
      <w:r>
        <w:t xml:space="preserve">der Lebensräume und Vorkommen von nach § 20a Abs. 1 Nr. 7 und 8 des Bundesnaturschutzgesetzes besonders geschützten Pflanzenarten, wie Steif- und Breitblättriges Knabenkraut, Sumpf-Sitter, Astlose Graslilie und Sand-Strohblume,</w:t>
      </w:r>
    </w:p>
    <w:p>
      <w:r>
        <w:t xml:space="preserve">der Lebensräume von nach § 20a Abs. 1 Nr. 8 des Bundesnaturschutzgesetzes besonders und streng geschützten Tierarten, wie Eisvogel, Uferschwalbe, Brachpieper, Heidelerche, Flußregenpfeifer, Ringelnatter, Zauneidechse, mehrere Amphibienarten, Walker, Große und Kleine Königslibelle, Blauflüglige Ödlandschrecke und Blauflüglige Sandschrecke;</w:t>
      </w:r>
    </w:p>
    <w:p>
      <w:r>
        <w:t xml:space="preserve">aus ökologischen Gründen, insbesondere die Erhaltung von ehemaligen Rohboden-Aufschlüssen für Sukzessionsabläufe auf Feucht- und Trockenstandorten.</w:t>
      </w:r>
    </w:p>
    <w:p>
      <w:r>
        <w:rPr>
          <w:color w:val="555555"/>
          <w:sz w:val="17"/>
        </w:rPr>
        <w:t xml:space="preserve">Zitiervorschlag: § 3 VO-ID211950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https://recht.nulegal.eu/gesetze/VO-ID211950/3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