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VO-ID211950 (Brandenburg) — In-Kraft-Treten</w:t>
      </w:r>
    </w:p>
    <w:p>
      <w:r>
        <w:rPr>
          <w:color w:val="555555"/>
          <w:sz w:val="18"/>
        </w:rPr>
        <w:t xml:space="preserve">Verordnung über das Naturschutzgebiet „Pätzer Kiesgrube“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5. März 2002</w:t>
      </w:r>
    </w:p>
    <w:p>
      <w:r>
        <w:rPr>
          <w:color w:val="555555"/>
          <w:sz w:val="17"/>
        </w:rPr>
        <w:t xml:space="preserve">Zitiervorschlag: § 10 VO-ID211950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https://recht.nulegal.eu/gesetze/VO-ID211950/10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