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VO-ID211948 (Brandenburg) — Schutzzweck</w:t>
      </w:r>
    </w:p>
    <w:p>
      <w:r>
        <w:rPr>
          <w:color w:val="555555"/>
          <w:sz w:val="18"/>
        </w:rPr>
        <w:t xml:space="preserve">Verordnung über das Naturschutzgebiet „Torfstich Klosterfelde“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Unterschutzstellung dient der Erhaltung und Regeneration eines nacheiszeitlich entstandenen Flachmoorkomplexes, eines Kleingewässers sowie einer Binnendüne mit standorttypischer Biotopausprägung und Artenzusammensetzung.</w:t>
      </w:r>
    </w:p>
    <w:p>
      <w:r>
        <w:t xml:space="preserve">Schutzzweck ist dabei insbesondere:</w:t>
      </w:r>
    </w:p>
    <w:p>
      <w:r>
        <w:t xml:space="preserve">die Erhaltung und naturnahe Wiederherstellung und Entwicklung des Gebietes</w:t>
      </w:r>
    </w:p>
    <w:p>
      <w:r>
        <w:t xml:space="preserve">als Lebensraum wildlebender Pflanzengesellschaften, insbesondere der Ufer-Röhrichte, Großseggenriede, Feucht- und Frischwiesen, Faulbaum-Grauweidengebüsche und Moor- und Bruchwälder sowie der Sandtrockenrasen,</w:t>
      </w:r>
    </w:p>
    <w:p>
      <w:r>
        <w:t xml:space="preserve">als Lebensraum wildlebender und bestandsbedrohter Tierarten, darunter zahlreiche nach § 20a Abs. 1 Nr. 7 und 8 des Bundesnaturschutzgesetzes besonders und streng geschützte Arten, insbesondere Amphibien, Kriechtiere und störungsempfindliche und gefährdete Wat- und Großvogelarten;</w:t>
      </w:r>
    </w:p>
    <w:p>
      <w:r>
        <w:t xml:space="preserve">die Erhaltung und Wiederherstellung weiterer stark gefährdeter, insbesondere nach § 20a Abs. 1 Nr. 7 des Bundesnaturschutzgesetzes besonders geschützter Pflanzenarten wie Steifblättriges und Breitblättriges Knabenkraut;</w:t>
      </w:r>
    </w:p>
    <w:p>
      <w:r>
        <w:t xml:space="preserve">die Erhaltung des Gebietes als Zufluchtsort und als potenzielles Wiederausbreitungszentrum bestandsbedrohter Tierarten, insbesondere der an Gewässer und Feuchtgebiete gebundenen Arten;</w:t>
      </w:r>
    </w:p>
    <w:p>
      <w:r>
        <w:t xml:space="preserve">die Erhaltung des Moorkörpers und der Binnendüne als erdgeschichtliches und geologisches Zeugnis der nacheiszeitlichen Landschaftsentwicklung und Vegetationsgeschichte;</w:t>
      </w:r>
    </w:p>
    <w:p>
      <w:r>
        <w:t xml:space="preserve">die Erhaltung der besonderen Eigenart und hervorragenden landschaftlichen Schönheit des Gebietes, dessen Charakter in der Senke durch die Abfolge von Kleingewässern, naturnaher Moorvegetation, Gras- und Staudenfluren und daran anschließend durch die bewaldete Binnendüne geprägt wird.</w:t>
      </w:r>
    </w:p>
    <w:p>
      <w:r>
        <w:rPr>
          <w:color w:val="555555"/>
          <w:sz w:val="17"/>
        </w:rPr>
        <w:t xml:space="preserve">Zitiervorschlag: § 3 VO-ID211948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https://recht.nulegal.eu/gesetze/VO-ID211948/3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