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VO-ID211946 (Brandenburg) — Verhältnis zu anderen naturschutzrechtlichen Bestimmungen</w:t>
      </w:r>
    </w:p>
    <w:p>
      <w:r>
        <w:rPr>
          <w:color w:val="555555"/>
          <w:sz w:val="18"/>
        </w:rPr>
        <w:t xml:space="preserve">Verordnung über das Naturschutzgebiet „Bückwitzer See und Rohrlacker Graben“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weitergehenden Vorschriften enthält, bleiben die Regelungen über gesetzlich geschützte Teile von Natur und Landschaft (§§ 31 bis 36 des Brandenburgischen Naturschutzgesetzes) und über den Schutz und die Pflege wildlebender Tier- und Pflanzenarten (§§ 20 bis 26b des Bundesnaturschutzgesetzes, §§ 37 bis 43 des Brandenburgischen Naturschutzgesetzes) unberührt.</w:t>
      </w:r>
    </w:p>
    <w:p>
      <w:r>
        <w:rPr>
          <w:color w:val="555555"/>
          <w:sz w:val="17"/>
        </w:rPr>
        <w:t xml:space="preserve">Zitiervorschlag: § 9 VO-ID211946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https://recht.nulegal.eu/gesetze/VO-ID211946/9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