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VO-ID211946 (Brandenburg) — Befreiungen</w:t>
      </w:r>
    </w:p>
    <w:p>
      <w:r>
        <w:rPr>
          <w:color w:val="555555"/>
          <w:sz w:val="18"/>
        </w:rPr>
        <w:t xml:space="preserve">Verordnung über das Naturschutzgebiet „Bückwitzer See und Rohrlacker 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t xml:space="preserve">§ 8</w:t>
      </w:r>
    </w:p>
    <w:p>
      <w:r>
        <w:t xml:space="preserve">Ordnungswidrigkeiten</w:t>
      </w:r>
    </w:p>
    <w:p>
      <w:r>
        <w:t xml:space="preserve">(1) Ordnungswidrig im Sinne des § 73 Abs. 2 Nr. 2 des Brandenburgischen Naturschutzgesetzes handelt, wer vorsätzlich oder fahrlässig den Vorschriften des § 4 zuwiderhandelt.</w:t>
      </w:r>
    </w:p>
    <w:p>
      <w:r>
        <w:t xml:space="preserve">(2) Ordnungswidrigkeiten nach Absatz 1 können gemäß § 74 des Brandenburgischen Naturschutzgesetzes mit einer Geldbuße bis zu hunderttausend Deutsche Mark geahndet werden.</w:t>
      </w:r>
    </w:p>
    <w:p>
      <w:r>
        <w:rPr>
          <w:color w:val="555555"/>
          <w:sz w:val="17"/>
        </w:rPr>
        <w:t xml:space="preserve">Zitiervorschlag: § 7 VO-ID211946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https://recht.nulegal.eu/gesetze/VO-ID211946/7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