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VO-ID211946 (Brandenburg) — Zulässige Handlungen</w:t>
      </w:r>
    </w:p>
    <w:p>
      <w:r>
        <w:rPr>
          <w:color w:val="555555"/>
          <w:sz w:val="18"/>
        </w:rPr>
        <w:t xml:space="preserve">Verordnung über das Naturschutzgebiet „Bückwitzer See und Rohrlacker 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 für Grünland § 4 Abs. 2 Nr. 23 gilt; bei Wildschäden ist mit Zustimmung der unteren Naturschutzbehörde eine umbruchlose Nachsaat zulässig;</w:t>
      </w:r>
    </w:p>
    <w:p>
      <w:r>
        <w:t xml:space="preserve">die im Sinne des § 11 Abs. 3 des Brandenburgischen Naturschutzgesetzes ordnungsgemäße forstwirtschaftliche Bodennutzung in der bisherigen Art und im bisherigen Umfang auf den bisher rechtmäßig dafür genutzten Flächen;</w:t>
      </w:r>
    </w:p>
    <w:p>
      <w:r>
        <w:t xml:space="preserve">die im Sinne des § 11 Abs. 4 des Brandenburgischen Naturschutzgesetzes in Verbindung mit § 1 Abs. 1 und 2 des Fischereigesetzes für das Land Brandenburg ordnungsgemäße fischereiwirtschaftliche Flächennutzung in der bisherigen Art und im bisherigen Umfang auf den bisher rechtmäßig dafür genutzten Flächen mit der Maßgabe, dass Fanggeräte und Fangmittel so einzusetzen oder auszustatten sind, dass ein Einschwimmen oder eine Gefährdung des Fischotters weitestgehend ausgeschlossen ist;</w:t>
      </w:r>
    </w:p>
    <w:p>
      <w:r>
        <w:t xml:space="preserve">die rechtmäßige Ausübung der Angelfischerei mit der Maßgabe, dass</w:t>
      </w:r>
    </w:p>
    <w:p>
      <w:r>
        <w:t xml:space="preserve">das Angeln vom Ufer aus nur innerhalb des in der topografischen Karte dargestellten Bereiches (Flurstücke 109 bis 121 der Flur 3 der Gemarkung Metzelthin) aus erfolgt,</w:t>
      </w:r>
    </w:p>
    <w:p>
      <w:r>
        <w:t xml:space="preserve">§ 4 Abs. 2 Nr. 13 gilt;</w:t>
      </w:r>
    </w:p>
    <w:p>
      <w:r>
        <w:t xml:space="preserve">für den Bereich der Jagd:</w:t>
      </w:r>
    </w:p>
    <w:p>
      <w:r>
        <w:t xml:space="preserve">die rechtmäßige Ausübung der Jagd mit der Maßgabe, dass Kirrungen nur außerhalb von gemäß § 32 des Brandenburgischen Naturschutzgesetzes geschützten Biotopen zulässig sind,</w:t>
      </w:r>
    </w:p>
    <w:p>
      <w:r>
        <w:t xml:space="preserve">die Jagd auf Federwild nicht vor dem 1. November eines jeden Jahres erfolgt,</w:t>
      </w:r>
    </w:p>
    <w:p>
      <w:r>
        <w:t xml:space="preserve">die Errichtung ortsunveränderlicher, jagdlicher Einrichtungen im Einvernehmen mit der unteren Naturschutzbehörde. Transportable und mobile Ansitzeinrichtungen sind der unteren Naturschutzbehörde vor der Errichtung anzuzeigen. Die untere Naturschutzbehörde kann in begründeten Einzelfällen das Aufstellen verbieten. Die Entscheidung hierüber soll unverzüglich erfolgen;</w:t>
      </w:r>
    </w:p>
    <w:p>
      <w:r>
        <w:t xml:space="preserve">das nichtgewerbliche Sammeln von Pilzen und Waldfrüchten nach dem 31. Juli eines jeden Kalenderjahres;</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zuständigen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VO-ID211946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https://recht.nulegal.eu/gesetze/VO-ID211946/5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