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VO-ID211946 (Brandenburg) — Schutzzweck</w:t>
      </w:r>
    </w:p>
    <w:p>
      <w:r>
        <w:rPr>
          <w:color w:val="555555"/>
          <w:sz w:val="18"/>
        </w:rPr>
        <w:t xml:space="preserve">Verordnung über das Naturschutzgebiet „Bückwitzer See und Rohrlacker 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in § 2 bezeichnete Gebiet repräsentiert einen eiszeitlich geprägten See des Brandenburgischen Jungmoränenlandes im Übergangsbereich zwischen der Ruppiner Platte und dem Unteren Rhinluch.</w:t>
      </w:r>
    </w:p>
    <w:p>
      <w:r>
        <w:t xml:space="preserve">(2) Schutzzweck des Naturschutzgebietes ist die Erhaltung, Entwicklung und naturnahe Wiederherstellung</w:t>
      </w:r>
    </w:p>
    <w:p>
      <w:r>
        <w:t xml:space="preserve">als Lebensraum wild wachsender Pflanzengesellschaften, insbesondere der Seggenriede, Röhrichte, Erlenbrüche, Feuchtwiesen und -weiden;</w:t>
      </w:r>
    </w:p>
    <w:p>
      <w:r>
        <w:t xml:space="preserve">als Lebensraum wild wachsender Pflanzenarten, insbesondere von nach § 20a Abs. 1 Nr. 7 und 8 des Bundesnaturschutzgesetzes besonders und streng geschützter Pflanzenarten wie beispielsweise Seggen (Carex);</w:t>
      </w:r>
    </w:p>
    <w:p>
      <w:r>
        <w:t xml:space="preserve">als Lebensraum wildlebender insbesondere von nach § 20a Abs. 1 Nr. 7 und 8 des Bundesnaturschutzgesetzes besonders und streng geschützter Tierarten wie beispielsweise Fischotter (Lutra lutra), schilfbewohnende Kleinvogelarten, Lurche (Amphibia) und Kriechtiere (Reptilia) sowie als Rastplatz für Zugvögel;</w:t>
      </w:r>
    </w:p>
    <w:p>
      <w:r>
        <w:t xml:space="preserve">als wichtiges Element eines regionalen Biotopverbundes;</w:t>
      </w:r>
    </w:p>
    <w:p>
      <w:r>
        <w:t xml:space="preserve">von Niedermooren.</w:t>
      </w:r>
    </w:p>
    <w:p>
      <w:r>
        <w:rPr>
          <w:color w:val="555555"/>
          <w:sz w:val="17"/>
        </w:rPr>
        <w:t xml:space="preserve">Zitiervorschlag: § 3 VO-ID211946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https://recht.nulegal.eu/gesetze/VO-ID211946/3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