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VO-ID211945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„Feuchtgebiet Schönberg Blankenberg“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festgelegt:</w:t>
      </w:r>
    </w:p>
    <w:p>
      <w:r>
        <w:t xml:space="preserve">um die Standortbedingungen für Erlenbrüche, Röhrichte, Feucht- und Nasswiesen sowie den Fortbestand des Kleinen Sees westlich von Blankenberg zu sichern, werden Maßnahmen zur Gewährleistung möglichst hoher Grundwasserstände angestrebt;</w:t>
      </w:r>
    </w:p>
    <w:p>
      <w:r>
        <w:t xml:space="preserve">die Grünlandnutzung soll den naturräumlichen Gegebenheiten und den Belangen des Wiesenbrüterschutzes entsprechend extensiviert werden;</w:t>
      </w:r>
    </w:p>
    <w:p>
      <w:r>
        <w:t xml:space="preserve">die Pflege der Wald- und Gehölzbestände soll an Belangen des Artenschutzes ausgerichtet werden, speziell in Bruchwäldern sollen keine Kahlschläge erfolgen;</w:t>
      </w:r>
    </w:p>
    <w:p>
      <w:r>
        <w:t xml:space="preserve">der Bestand an Feldgehölzen soll ergänzt werden.</w:t>
      </w:r>
    </w:p>
    <w:p>
      <w:r>
        <w:rPr>
          <w:color w:val="555555"/>
          <w:sz w:val="17"/>
        </w:rPr>
        <w:t xml:space="preserve">Zitiervorschlag: § 6 VO-ID211945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https://recht.nulegal.eu/gesetze/VO-ID211945/6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