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VO-ID211945 (Brandenburg) — Zulässige Handlungen</w:t>
      </w:r>
    </w:p>
    <w:p>
      <w:r>
        <w:rPr>
          <w:color w:val="555555"/>
          <w:sz w:val="18"/>
        </w:rPr>
        <w:t xml:space="preserve">Verordnung über das Naturschutzgebiet „Feuchtgebiet Schönberg Blankenberg“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 folgende Handlungen:</w:t>
      </w:r>
    </w:p>
    <w:p>
      <w:r>
        <w:t xml:space="preserve">die im Sinne des § 11 Abs. 2 des Brandenburgischen Naturschutzgesetzes ordnungsgemäße landwirtschaftliche Bodennutzung in der bisherigen Art und im bisherigen Umfang auf den bisher rechtmäßig dafür genutzten Flächen mit der Maßgabe, dass für Grünland § 4 Abs. 2 Nr. 23 gilt; bei Wildschäden ist mit Zustimmung der unteren Naturschutzbehörde eine umbruchlose Nachsaat zulässig;</w:t>
      </w:r>
    </w:p>
    <w:p>
      <w:r>
        <w:t xml:space="preserve">die im Sinne des § 11 Abs. 3 des Brandenburgischen Naturschutzgesetzes ordnungsgemäße forstwirtschaftliche Bodennutzung in der bisherigen Art und im bisherigen Umfang auf den bisher rechtmäßig dafür genutzten Flächen mit der Maßgabe, dass</w:t>
      </w:r>
    </w:p>
    <w:p>
      <w:r>
        <w:t xml:space="preserve">nur heimische Baumarten ausgebracht werden,</w:t>
      </w:r>
    </w:p>
    <w:p>
      <w:r>
        <w:t xml:space="preserve">Aufforstungen als Laubmischwald erfolgen;</w:t>
      </w:r>
    </w:p>
    <w:p>
      <w:r>
        <w:t xml:space="preserve">die im Sinne des § 11 Abs. 4 des Brandenburgischen Naturschutzgesetzes in Verbindung mit § 1 Abs. 1 und 2 des Fischereigesetzes für das Land Brandenburg ordnungsgemäße fischereiwirtschaftliche Flächennutzung in der bisherigen Art und im bisherigen Umfang auf den bisher rechtmäßig dafür genutzten Flächen;</w:t>
      </w:r>
    </w:p>
    <w:p>
      <w:r>
        <w:t xml:space="preserve">die rechtmäßige Ausübung der Angelfischerei mit der Maßgabe, dass das Angeln ausschließlich von Stegen auf dem Flurstück 190 der Flur 1 der Gemarkung Blankenberg erfolgt (siehe auch Eintragung in der topografischen Karte);</w:t>
      </w:r>
    </w:p>
    <w:p>
      <w:r>
        <w:t xml:space="preserve">für den Bereich der Jagd:</w:t>
      </w:r>
    </w:p>
    <w:p>
      <w:r>
        <w:t xml:space="preserve">die rechtmäßige Ausübung der Jagd mit der Maßgabe, dass die Jagd auf Wasservögel nicht vor dem 1. November eines jeden Jahres erfolgt,</w:t>
      </w:r>
    </w:p>
    <w:p>
      <w:r>
        <w:t xml:space="preserve">die Errichtung ortsunveränderlicher jagdlicher Einrichtungen im Einvernehmen mit der unteren Naturschutzbehörde. Transportable und mobile Ansitzeinrichtungen sind der unteren Naturschutzbehörde vor der Errichtung anzuzeigen. Die untere Naturschutzbehörde kann in begründeten Einzelfällen das Aufstellen verbieten. Die Entscheidung hierüber soll unverzüglich erfolgen;</w:t>
      </w:r>
    </w:p>
    <w:p>
      <w:r>
        <w:t xml:space="preserve">das nichtgewerbliche Sammeln von Pilzen und Waldfrüchten nach dem 31. Juli eines jeden Kalenderjahres;</w:t>
      </w:r>
    </w:p>
    <w:p>
      <w:r>
        <w:t xml:space="preserve">die im Sinne des § 10 des Brandenburgischen Straßengesetzes ordnungsgemäße Unterhaltung der dem öffentlichen Verkehr gewidmeten Straßen und Wege, die im Sinne des § 78 des Brandenburgischen Wassergesetzes ordnungsgemäße Unterhaltung der Gewässer sowie die ordnungsgemäße Unterhaltung sonstiger rechtmäßig bestehender Anlagen jeweils im Einvernehmen mit der unteren Naturschutzbehörde;</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Altlastenverdachtsflächen und Verdachtsflächen sowie Maßnahmen der Altlastensanierung und der Sanierung schädlicher Bodenveränderungen gemäß Bundes-Bodenschutzgesetz sowie Maßnahmen der Munitionsräumung im Einvernehmen mit der unteren Naturschutzbehörde;</w:t>
      </w:r>
    </w:p>
    <w:p>
      <w:r>
        <w:t xml:space="preserve">Schutz-, Pflege- und Entwicklungsmaßnahmen, die von der zuständigen Naturschutzbehörde angeordnet worden sind;</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Der Genehmigungsvorbehalt nach § 19 Abs. 3 Satz 2 des Landeswaldgesetzes bleibt unberührt.</w:t>
      </w:r>
    </w:p>
    <w:p>
      <w:r>
        <w:rPr>
          <w:color w:val="555555"/>
          <w:sz w:val="17"/>
        </w:rPr>
        <w:t xml:space="preserve">Zitiervorschlag: § 5 VO-ID211945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https://recht.nulegal.eu/gesetze/VO-ID211945/5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VO-ID211945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