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VO-ID211945 (Brandenburg) — Schutzzweck</w:t>
      </w:r>
    </w:p>
    <w:p>
      <w:r>
        <w:rPr>
          <w:color w:val="555555"/>
          <w:sz w:val="18"/>
        </w:rPr>
        <w:t xml:space="preserve">Verordnung über das Naturschutzgebiet „Feuchtgebiet Schönberg Blankenberg“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in § 2 bezeichnete Gebiet repräsentiert einen von Kleingewässern und verschiedenen Vegetationstypen feuchter Standorte geprägten Ausläufer der Dosseniederung mit reicher Artenausstattung.</w:t>
      </w:r>
    </w:p>
    <w:p>
      <w:r>
        <w:t xml:space="preserve">(2) Schutzzweck des Naturschutzgebietes ist die Erhaltung, Entwicklung und naturnahe Wiederherstellung</w:t>
      </w:r>
    </w:p>
    <w:p>
      <w:r>
        <w:t xml:space="preserve">als Lebensraum wild wachsender Pflanzengesellschaften, insbesondere der Schwimmblattpflanzengesellschaften, Röhrichte, Erlenbrüche, Flurgehölze sowie Grünland- und Staudengesellschaften feuchter beziehungsweise nasser Standorte;</w:t>
      </w:r>
    </w:p>
    <w:p>
      <w:r>
        <w:t xml:space="preserve">als Lebensraum wild wachsender Pflanzenarten, insbesondere von nach § 20a Abs. 1 Nr. 7 und 8 des Bundesnaturschutzgesetzes besonders und streng geschützter Pflanzenarten;</w:t>
      </w:r>
    </w:p>
    <w:p>
      <w:r>
        <w:t xml:space="preserve">als Lebensraum wildlebender Tierarten, insbesondere von nach § 20a Abs. 1 Nr. 7 und 8 des Bundesnaturschutzgesetzes besonders und streng geschützter Tierarten wie beispielsweise Fischotter (Lutra lutra), Fledermäuse (Chiroptera), Kranich (Grus grus), schilfbewohnende Kleinvogelarten, Lurche (Amphibia) und Kriechtiere (Reptilia) sowie als Rastplatz für durchziehende Kleinvögel;</w:t>
      </w:r>
    </w:p>
    <w:p>
      <w:r>
        <w:t xml:space="preserve">als Landschaftsraum von besonderer Eigenart und hervorragender Schönheit;</w:t>
      </w:r>
    </w:p>
    <w:p>
      <w:r>
        <w:t xml:space="preserve">als wichtiges Element eines regionalen Biotopverbundes;</w:t>
      </w:r>
    </w:p>
    <w:p>
      <w:r>
        <w:t xml:space="preserve">von Gewässern mit naturnaher Ufervegetation und von Niedermooren.</w:t>
      </w:r>
    </w:p>
    <w:p>
      <w:r>
        <w:rPr>
          <w:color w:val="555555"/>
          <w:sz w:val="17"/>
        </w:rPr>
        <w:t xml:space="preserve">Zitiervorschlag: § 3 VO-ID211945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https://recht.nulegal.eu/gesetze/VO-ID211945/3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