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VO-ID211945 (Brandenburg) — In-Kraft-Treten</w:t>
      </w:r>
    </w:p>
    <w:p>
      <w:r>
        <w:rPr>
          <w:color w:val="555555"/>
          <w:sz w:val="18"/>
        </w:rPr>
        <w:t xml:space="preserve">Verordnung über das Naturschutzgebiet „Feuchtgebiet Schönberg Blankenberg“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31. August 2001</w:t>
      </w:r>
    </w:p>
    <w:p>
      <w:r>
        <w:t xml:space="preserve">Der Minister für Landwirtschaft, Umweltschutz und Raumordnung</w:t>
      </w:r>
    </w:p>
    <w:p>
      <w:r>
        <w:t xml:space="preserve">Wolfgang Birthler</w:t>
      </w:r>
    </w:p>
    <w:p>
      <w:r>
        <w:rPr>
          <w:color w:val="555555"/>
          <w:sz w:val="17"/>
        </w:rPr>
        <w:t xml:space="preserve">Zitiervorschlag: § 11 VO-ID211945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https://recht.nulegal.eu/gesetze/VO-ID211945/11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