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VO-ID211945 (Brandenburg) — Geltendmachen von Rechtsmängeln</w:t>
      </w:r>
    </w:p>
    <w:p>
      <w:r>
        <w:rPr>
          <w:color w:val="555555"/>
          <w:sz w:val="18"/>
        </w:rPr>
        <w:t xml:space="preserve">Verordnung über das Naturschutzgebiet „Feuchtgebiet Schönberg Blankenberg“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von Rechtsmängeln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VO-ID211945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https://recht.nulegal.eu/gesetze/VO-ID211945/10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