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VO-ID211944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„Bärenbusch“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festgelegt:</w:t>
      </w:r>
    </w:p>
    <w:p>
      <w:r>
        <w:t xml:space="preserve">naturferne Forstbestände sollen zu standortgerechten Waldgesellschaften umgebaut werden;</w:t>
      </w:r>
    </w:p>
    <w:p>
      <w:r>
        <w:t xml:space="preserve">Waldmäntel und standorttypische Kleinbiotope und Habitatstrukturen eines naturnahen Waldökosystems sollen erhalten, entwickelt und neu angelegt werden;</w:t>
      </w:r>
    </w:p>
    <w:p>
      <w:r>
        <w:t xml:space="preserve">im Wald soll ein höhlenreicher Altholzbestand und ein Angebot an stehendem und liegendem Totholz als Lebensgrundlage für spezialisierte Tierarten aufgebaut sowie dauerhaft erhalten werden;</w:t>
      </w:r>
    </w:p>
    <w:p>
      <w:r>
        <w:t xml:space="preserve">Kahlschläge von mehr als 0,5 Hektar Größe sollen vermieden werden;</w:t>
      </w:r>
    </w:p>
    <w:p>
      <w:r>
        <w:t xml:space="preserve">die Standortbedingungen für Erlenbrüche und Feuchtwaldgesellschaften sollen durch hohe Wasserrückhaltung gesichert werden;</w:t>
      </w:r>
    </w:p>
    <w:p>
      <w:r>
        <w:t xml:space="preserve">die Grünlandnutzung soll extensiv erfolgen und durch angepasste Nutzungstermine sowie hohe Grundwasserstände im Frühjahr die Erfordernisse des Wiesenbrüterschutzes berücksichtigen;</w:t>
      </w:r>
    </w:p>
    <w:p>
      <w:r>
        <w:t xml:space="preserve">Fuchs und Schwarzwild sollen intensiv bejagt werden;</w:t>
      </w:r>
    </w:p>
    <w:p>
      <w:r>
        <w:t xml:space="preserve">aufgegebene landwirtschaftliche Betriebsgebäude sollen rückgebaut werden.</w:t>
      </w:r>
    </w:p>
    <w:p>
      <w:r>
        <w:rPr>
          <w:color w:val="555555"/>
          <w:sz w:val="17"/>
        </w:rPr>
        <w:t xml:space="preserve">Zitiervorschlag: § 6 VO-ID211944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VO-ID211944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