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VO-ID211944 (Brandenburg) — Zulässige Handlungen</w:t>
      </w:r>
    </w:p>
    <w:p>
      <w:r>
        <w:rPr>
          <w:color w:val="555555"/>
          <w:sz w:val="18"/>
        </w:rPr>
        <w:t xml:space="preserve">Verordnung über das Naturschutzgebiet „Bärenbusch“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 für Grünland § 4 Abs. 2 Nr. 23 gilt; bei Wildschäden ist mit Zustimmung der unteren Naturschutzbehörde eine umbruchlose Nachsaat zulässig;</w:t>
      </w:r>
    </w:p>
    <w:p>
      <w:r>
        <w:t xml:space="preserve">die im Sinne des § 11 Abs. 3 des Brandenburgischen Naturschutzgesetzes ordnungsgemäße forstwirtschaftliche Bodennutzung in der bisherigen Art und im bisherigen Umfang auf den bisher rechtmäßig dafür genutzten Flächen mit der Maßgabe, dass nur heimische Baumarten eingebracht werden;</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w:t>
      </w:r>
    </w:p>
    <w:p>
      <w:r>
        <w:t xml:space="preserve">die rechtmäßige Ausübung der Angelfischerei in der Jäglitz;</w:t>
      </w:r>
    </w:p>
    <w:p>
      <w:r>
        <w:t xml:space="preserve">für den Bereich der Jagd:</w:t>
      </w:r>
    </w:p>
    <w:p>
      <w:r>
        <w:t xml:space="preserve">die rechtmäßige Ausübung der Jagd mit der Maßgabe, dass die Jagd in der Zeit vom 15. März bis 30. Juni ausschließlich vom Ansitz aus erfolgt,</w:t>
      </w:r>
    </w:p>
    <w:p>
      <w:r>
        <w:t xml:space="preserve">die Errichtung ortsunveränderlicher jagdlicher Einrichtungen im Einvernehmen mit der unteren Naturschutzbehörde. Transportable und mobile Ansitzeinrichtungen sind der unteren Naturschutzbehörde vor der Errichtung anzuzeigen. Die untere Naturschutzbehörde kann in begründeten Einzelfällen das Aufstellen verbieten. Die Entscheidung hierüber soll unverzüglich erfolgen;</w:t>
      </w:r>
    </w:p>
    <w:p>
      <w:r>
        <w:t xml:space="preserve">das nichtgewerbliche Sammeln von Pilzen und Waldfrüchten nach dem 31. Juli eines jeden Kalenderjahres;</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https://recht.nulegal.eu/gesetze/VO-ID211944/5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