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5 VO-ID211943 (Brandenburg) — Zulässige Handlungen</w:t>
      </w:r>
    </w:p>
    <w:p>
      <w:r>
        <w:rPr>
          <w:color w:val="555555"/>
          <w:sz w:val="18"/>
        </w:rPr>
        <w:t xml:space="preserve">Verordnung über das Naturschutzgebiet „Westmarkscheide-Mariensumpf“</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Ausgenommen von den Verboten des § 4 bleiben:</w:t>
      </w:r>
    </w:p>
    <w:p>
      <w:r>
        <w:t xml:space="preserve">die im Sinne des § 11 Abs. 3 des Brandenburgischen Naturschutzgesetzes ordnungsgemäße forstwirtschaftliche Bodennutzung mit der Maßgabe, dass</w:t>
      </w:r>
    </w:p>
    <w:p>
      <w:r>
        <w:t xml:space="preserve">nur heimische Baum- und Straucharten zu verwenden sind,</w:t>
      </w:r>
    </w:p>
    <w:p>
      <w:r>
        <w:t xml:space="preserve">§ 4 Abs. 2 Nr. 23 gilt;</w:t>
      </w:r>
    </w:p>
    <w:p>
      <w:r>
        <w:t xml:space="preserve">die im Sinne des § 11 Abs. 4 des Brandenburgischen Naturschutzgesetzes in Verbindung mit § 1 Abs. 1 und 2 des Fischereigesetzes für das Land Brandenburg ordnungsgemäße fischereiwirtschaftliche Flächennutzung;</w:t>
      </w:r>
    </w:p>
    <w:p>
      <w:r>
        <w:t xml:space="preserve">die rechtmäßige Ausübung der Angelfischerei auf den von der unteren Fischereibehörde im Einvernehmen mit der unteren Naturschutzbehörde festzulegenden Flächen mit der Maßgabe, dass § 4 Abs. 2 Nr. 13 gilt;</w:t>
      </w:r>
    </w:p>
    <w:p>
      <w:r>
        <w:t xml:space="preserve">die rechtmäßige Ausübung der Jagd mit der Maßgabe, dass sie in der Zeit vom 15. März bis 30. Juni vorrangig vom Ansitz aus erfolgt. Im Übrigen ist die Anlage von Kirrungen und Ansaatwildwiesen unzulässig;</w:t>
      </w:r>
    </w:p>
    <w:p>
      <w:r>
        <w:t xml:space="preserve">die im Sinne des § 10 des Brandenburgischen Straßengesetzes ordnungsgemäße Unterhaltung der dem öffentlichen Verkehr gewidmeten Straßen und Wege, die im Sinne des § 78 des Brandenburgischen Wassergesetzes ordnungsgemäße Unterhaltung der Gewässer sowie die ordnungsgemäße Unterhaltung sonstiger rechtmäßig bestehender Anlagen jeweils im Einvernehmen mit der unteren Naturschutzbehörde;</w:t>
      </w:r>
    </w:p>
    <w:p>
      <w:r>
        <w:t xml:space="preserve">die sonstigen bei In-Kraft-Treten dieser Verordnung aufgrund behördlicher Einzelfallentscheidungen rechtmäßig ausgeübten Nutzungen und Befugnisse in der bisherigen Art und im bisherigen Umfang;</w:t>
      </w:r>
    </w:p>
    <w:p>
      <w:r>
        <w:t xml:space="preserve">Schutz-, Pflege- und Entwicklungsmaßnahmen, die von der zuständigen Naturschutzbehörde angeordnet worden sind;</w:t>
      </w:r>
    </w:p>
    <w:p>
      <w:r>
        <w:t xml:space="preserve">behördliche sowie behördlich angeordnete oder zugelassene Beschilderungen, soweit sie auf den Schutzzweck des Gebietes hinweisen oder als hoheitliche Kennzeichnungen, Orts- oder Verkehrshinweise, Wegemarkierungen oder Warntafeln dienen;</w:t>
      </w:r>
    </w:p>
    <w:p>
      <w:r>
        <w:t xml:space="preserve">die in bergrechtlichen Betriebsplänen zugelassenen Maßnahmen zur Wiedernutzbarmachung des ehemaligen Tagebaues „Meuro“;</w:t>
      </w:r>
    </w:p>
    <w:p>
      <w:r>
        <w:t xml:space="preserve">Maßnahmen zur Untersuchung von Altlastverdachtsflächen und Verdachtsflächen sowie Maßnahmen der Altlastensanierung und der Sanierung schädlicher Bodenveränderungen gemäß Bundes-Bodenschutzgesetz sowie Maßnahmen der Munitionsräumung im Einvernehmen mit der unteren Naturschutzbehörde;</w:t>
      </w:r>
    </w:p>
    <w:p>
      <w:r>
        <w:t xml:space="preserve">Maßnahmen, die der Abwehr einer unmittelbar drohenden Gefahr für die öffentliche Sicherheit und Ordnung dienen. Die untere Naturschutzbehörde ist über die getroffenen Maßnahmen unverzüglich zu unterrichten. Sie kann nachträglich ergänzende Anordnungen zur Vereinbarkeit mit dem Schutzzweck treffen.</w:t>
      </w:r>
    </w:p>
    <w:p>
      <w:r>
        <w:t xml:space="preserve">(2) Die in § 4 für das Betreten und Befahren des Naturschutzgebietes enthaltenen Einschränkungen gelten nicht für die Dienstkräfte der Naturschutzbehörden, die zuständigen Naturschutzhelfer und sonstige von den Naturschutzbehörden beauftragte Personen sowie für Dienstkräfte und andere beauftragte Personen anderer zuständiger Behörden und Einrichtungen, soweit diese in Wahrnehmung ihrer gesetzlichen Aufgaben handeln. Der Genehmigungsvorbehalt nach § 19 Abs. 3 Satz 2 des Landeswaldgesetzes bleibt unberührt.</w:t>
      </w:r>
    </w:p>
    <w:p>
      <w:r>
        <w:rPr>
          <w:color w:val="555555"/>
          <w:sz w:val="17"/>
        </w:rPr>
        <w:t xml:space="preserve">Zitiervorschlag: § 5 VO-ID211943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https://recht.nulegal.eu/gesetze/VO-ID211943/5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5 VO-ID211943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