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§ 7 VO-ID211942 (Brandenburg) — Befreiungen</w:t>
      </w:r>
    </w:p>
    <w:p>
      <w:r>
        <w:rPr>
          <w:color w:val="555555"/>
          <w:sz w:val="18"/>
        </w:rPr>
        <w:t xml:space="preserve">Verordnung über das Naturschutzgebiet „Kindelsee-Springluch“</w:t>
      </w:r>
    </w:p>
    <w:p>
      <w:r>
        <w:rPr>
          <w:color w:val="555555"/>
          <w:sz w:val="18"/>
        </w:rPr>
        <w:t xml:space="preserve">Landesrecht Brandenburg</w:t>
      </w:r>
    </w:p>
    <w:p>
      <w:r>
        <w:rPr>
          <w:color w:val="555555"/>
          <w:sz w:val="18"/>
        </w:rPr>
        <w:t xml:space="preserve">Stand: 02.08.2026 (konsolidierte Textfassung, kein amtliches Inkrafttretensdatum)</w:t>
      </w:r>
    </w:p>
    <w:p>
      <w:r>
        <w:t xml:space="preserve">Von den Verboten dieser Verordnung kann die oberste Naturschutzbehörde auf Antrag gemäß § 72 des Brandenburgischen Naturschutzgesetzes Befreiung gewähren.</w:t>
      </w:r>
    </w:p>
    <w:p>
      <w:r>
        <w:rPr>
          <w:color w:val="555555"/>
          <w:sz w:val="17"/>
        </w:rPr>
        <w:t xml:space="preserve">Zitiervorschlag: § 7 VO-ID211942 (Brandenburg)</w:t>
      </w:r>
    </w:p>
    <w:p>
      <w:r>
        <w:rPr>
          <w:color w:val="555555"/>
          <w:sz w:val="17"/>
        </w:rPr>
        <w:t xml:space="preserve">Quelle: bravors, abgerufen 02.08.2026</w:t>
      </w:r>
    </w:p>
    <w:p>
      <w:r>
        <w:rPr>
          <w:color w:val="555555"/>
          <w:sz w:val="17"/>
        </w:rPr>
        <w:t xml:space="preserve">Nicht-amtliche Lesefassung — verbindlich ist das Gesetz- und Verordnungsblatt für das Land Brandenburg (landesrecht.brandenburg.de: https://www.landesrecht.brandenburg.de)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https://recht.nulegal.eu/gesetze/VO-ID211942/7</w:t>
      </w:r>
    </w:p>
    <w:p>
      <w:r>
        <w:rPr>
          <w:color w:val="767676"/>
          <w:sz w:val="15"/>
        </w:rPr>
        <w:t xml:space="preserve">nu:legal · recht.nulegal.eu · Nicht-amtliche Lesefassung. Amtliche Fassung: landesrecht.brandenburg.de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