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VO-ID211942 (Brandenburg) — Zulässige Handlungen</w:t>
      </w:r>
    </w:p>
    <w:p>
      <w:r>
        <w:rPr>
          <w:color w:val="555555"/>
          <w:sz w:val="18"/>
        </w:rPr>
        <w:t xml:space="preserve">Verordnung über das Naturschutzgebiet „Kindelsee-Springluch“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 Maßgabe, dass § 4 Abs. 2 Nr. 19, 21 und 22 gilt;</w:t>
      </w:r>
    </w:p>
    <w:p>
      <w:r>
        <w:t xml:space="preserve">die im Sinne des § 11 Abs. 3 des Brandenburgischen Naturschutzgesetzes ordnungsgemäße forstwirtschaftliche Bodennutzung in der bisherigen Art und im bisherigen Umfang mit der Maßgabe, dass</w:t>
      </w:r>
    </w:p>
    <w:p>
      <w:r>
        <w:t xml:space="preserve">bei Voranbauten und Unterbauten einheimische Baumarten zu verwenden sind,</w:t>
      </w:r>
    </w:p>
    <w:p>
      <w:r>
        <w:t xml:space="preserve">Kahlschläge verboten sind,</w:t>
      </w:r>
    </w:p>
    <w:p>
      <w:r>
        <w:t xml:space="preserve">eine naturnahe Waldentwicklung mit einer natürlichen Bestockung und einem ausreichenden Anteil von Altund Totholz zu gewährleisten ist,</w:t>
      </w:r>
    </w:p>
    <w:p>
      <w:r>
        <w:t xml:space="preserve">§ 4 Abs. 2 Nr. 22 gilt;</w:t>
      </w:r>
    </w:p>
    <w:p>
      <w:r>
        <w:t xml:space="preserve">für den Bereich der Jagd:</w:t>
      </w:r>
    </w:p>
    <w:p>
      <w:r>
        <w:t xml:space="preserve">die rechtmäßige Ausübung der Jagd mit der Maßgabe, dass</w:t>
      </w:r>
    </w:p>
    <w:p>
      <w:r>
        <w:t xml:space="preserve">aa) die Jagd in der Zeit vom 15. März bis 30. Juni eines Jahres ausschließlich vom Ansitz aus stattfindet,</w:t>
      </w:r>
    </w:p>
    <w:p>
      <w:r>
        <w:t xml:space="preserve">ab) die Anlage von Kirrungen, Wildwiesen und Wildäckern verboten ist,</w:t>
      </w:r>
    </w:p>
    <w:p>
      <w:r>
        <w:t xml:space="preserve">die Anlage und ordnungsgemäße Unterhaltung jagdlicher Einrichtungen mit der Maßgabe, dass die Errichtung jagdlicher Einrichtungen im Einvernehmen mit der unteren Naturschutzbehörde erfolgt;</w:t>
      </w:r>
    </w:p>
    <w:p>
      <w:r>
        <w:t xml:space="preserve">die sonstigen bei In-Kraft-Treten dieser Verordnung auf Grund behördlicher Einzelfallentscheidung rechtmäßig ausgeübten Nutzungen und Befugnisse in der bisherigen Art und im bisherigen Umfang;</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Schutz-, Pflege- und Entwicklungsmaßnahmen, die von der zuständigen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zur Untersuchung von Altlastverdachtsflächen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Abs. 2 für das Betreten und Befahren des Naturschutzgebietes enthaltenen Einschränkungen gelten nicht für die Dienstkräfte der Naturschutzbehörden, die zuständigen Naturschutzhelfer und sonstige von den Naturschutzbehörden beauftragte Personen sowie für die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VO-ID211942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