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VO-ID211942 (Brandenburg) — Geltendmachen von Form- und Verfahrensmängeln</w:t>
      </w:r>
    </w:p>
    <w:p>
      <w:r>
        <w:rPr>
          <w:color w:val="555555"/>
          <w:sz w:val="18"/>
        </w:rPr>
        <w:t xml:space="preserve">Verordnung über das Naturschutzgebiet „Kindelsee-Springluch“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nach ihrer Verkündung geltend gemacht werden, es sei denn,</w:t>
      </w:r>
    </w:p>
    <w:p>
      <w:r>
        <w:t xml:space="preserve">diese Verordnung ist nicht ordnungsgemäß verkündet worden oder</w:t>
      </w:r>
    </w:p>
    <w:p>
      <w:r>
        <w:t xml:space="preserve">der Form- oder Verfahrensmangel ist zuvor gegenüber dem Ministerium für Landwirtschaft, Umweltschutz und Raumordnung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10 VO-ID211942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https://recht.nulegal.eu/gesetze/VO-ID211942/10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