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VO-ID211939 (Brandenburg) — Verhältnis zu anderen naturschutzrechtlichen Bestimmungen</w:t>
      </w:r>
    </w:p>
    <w:p>
      <w:r>
        <w:rPr>
          <w:color w:val="555555"/>
          <w:sz w:val="18"/>
        </w:rPr>
        <w:t xml:space="preserve">Verordnung über das Naturschutzgebiet „Tuschensee“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Aufstellung einer Behandlungsrichtlinie zur Ausführung der in dieser Verordnung festgelegten Schutz-, Pflege- und Entwicklungsmaßnahmen und zur Verwirklichung des Schutzzweckes und die Duldung von Maßnahmen des Naturschutzes und der Landschaftspflege richten sich nach den §§ 29, 68 des Brandenburgischen Naturschutzgesetzes.</w:t>
      </w:r>
    </w:p>
    <w:p>
      <w:r>
        <w:t xml:space="preserve">(2) Die Vorschriften dieser Verordnung gehen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26b des Bundesnaturschutzgesetzes und §§ 37 bis 43 des Brandenburgischen Naturschutzgesetzes) unberührt.</w:t>
      </w:r>
    </w:p>
    <w:p>
      <w:r>
        <w:rPr>
          <w:color w:val="555555"/>
          <w:sz w:val="17"/>
        </w:rPr>
        <w:t xml:space="preserve">Zitiervorschlag: § 9 VO-ID211939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https://recht.nulegal.eu/gesetze/VO-ID211939/9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VO-ID211939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