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VO-ID211939 (Brandenburg) — Befreiungen</w:t>
      </w:r>
    </w:p>
    <w:p>
      <w:r>
        <w:rPr>
          <w:color w:val="555555"/>
          <w:sz w:val="18"/>
        </w:rPr>
        <w:t xml:space="preserve">Verordnung über das Naturschutzgebiet „Tuschensee“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gemäß § 4 kann die zuständige Naturschutzbehörde auf Antrag gemäß § 67 des Bundesnaturschutzgesetzes Befreiung gewähren.</w:t>
      </w:r>
    </w:p>
    <w:p>
      <w:r>
        <w:rPr>
          <w:color w:val="555555"/>
          <w:sz w:val="17"/>
        </w:rPr>
        <w:t xml:space="preserve">Zitiervorschlag: § 7 VO-ID211939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https://recht.nulegal.eu/gesetze/VO-ID211939/7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