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VO-ID211939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„Tuschensee“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festgelegt:</w:t>
      </w:r>
    </w:p>
    <w:p>
      <w:r>
        <w:t xml:space="preserve">die Nutzung der Feuchtwiese soll in extensiver Form und nach Möglichkeit mit unterschiedlichen Mahdterminen erfolgen;</w:t>
      </w:r>
    </w:p>
    <w:p>
      <w:r>
        <w:t xml:space="preserve">die nicht standortgerechten Pappelbestände sollen im Rahmen von waldbaulichen Maßnahmen umgebaut werden;</w:t>
      </w:r>
    </w:p>
    <w:p>
      <w:r>
        <w:t xml:space="preserve">die Großseggenflächen und Hochstaudenfluren sollen nach Bedarf gemäht werden, um weiteres Gehölzaufkommen zu verhindern.</w:t>
      </w:r>
    </w:p>
    <w:p>
      <w:r>
        <w:rPr>
          <w:color w:val="555555"/>
          <w:sz w:val="17"/>
        </w:rPr>
        <w:t xml:space="preserve">Zitiervorschlag: § 6 VO-ID211939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https://recht.nulegal.eu/gesetze/VO-ID211939/6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