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VO-ID211939 (Brandenburg) — Zulässige Handlungen</w:t>
      </w:r>
    </w:p>
    <w:p>
      <w:r>
        <w:rPr>
          <w:color w:val="555555"/>
          <w:sz w:val="18"/>
        </w:rPr>
        <w:t xml:space="preserve">Verordnung über das Naturschutzgebiet „Tuschensee“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w:t>
      </w:r>
    </w:p>
    <w:p>
      <w:r>
        <w:t xml:space="preserve">die im Sinne des § 11 Abs. 2 des Brandenburgischen Naturschutzgesetzes ordnungsgemäße landwirtschaftliche Bodennutzung mit der Maßgabe, dass Grünland auf Niedermoorstandorten nicht umgebrochen oder neu angesät wird, ausgenommen zur Nachsaat bei Wildschäden;</w:t>
      </w:r>
    </w:p>
    <w:p>
      <w:r>
        <w:t xml:space="preserve">die im Sinne des § 11 Abs. 3 des Brandenburgischen Naturschutzgesetzes ordnungsgemäße forstwirtschaftliche Bodennutzung mit der Maßgabe, dass</w:t>
      </w:r>
    </w:p>
    <w:p>
      <w:r>
        <w:t xml:space="preserve">nur heimische Baumarten zu verwenden sind,</w:t>
      </w:r>
    </w:p>
    <w:p>
      <w:r>
        <w:t xml:space="preserve">eine Nutzung ausschließlich einzelstammweise erfolgt;</w:t>
      </w:r>
    </w:p>
    <w:p>
      <w:r>
        <w:t xml:space="preserve">die rechtmäßige Ausübung der Jagd mit der Maßgabe, dass</w:t>
      </w:r>
    </w:p>
    <w:p>
      <w:r>
        <w:t xml:space="preserve">die Jagd in der Zeit vom 1. März bis 30. Juni eines Jahres vorrangig vom Ansitz erfolgt,</w:t>
      </w:r>
    </w:p>
    <w:p>
      <w:r>
        <w:t xml:space="preserve">die Jagd auf Wasserwild erst nach dem 15. November eines jeden Jahres gestattet ist. Im Übrigen ist die Anlage von Wildäckern und Ansaatwildwiesen unzulässig;</w:t>
      </w:r>
    </w:p>
    <w:p>
      <w:r>
        <w:t xml:space="preserve">die im Sinne des § 10 des Brandenburgischen Straßengesetzes ordnungsgemäße Unterhaltung der dem öffentlichen Verkehr gewidmeten Straßen und Wege, die im Sinne des §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zuständigen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VO-ID211939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https://recht.nulegal.eu/gesetze/VO-ID211939/5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