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VO-ID211939 (Brandenburg) — Schutzzweck</w:t>
      </w:r>
    </w:p>
    <w:p>
      <w:r>
        <w:rPr>
          <w:color w:val="555555"/>
          <w:sz w:val="18"/>
        </w:rPr>
        <w:t xml:space="preserve">Verordnung über das Naturschutzgebiet „Tuschensee“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Schutzzweck ist die Erhaltung und Entwicklung des Gebietes</w:t>
      </w:r>
    </w:p>
    <w:p>
      <w:r>
        <w:t xml:space="preserve">als Standort seltener, in ihrem Bestand bedrohter wild wachsender Pflanzengesellschaften, insbesondere von Bruchwald, Feuchtwiesen und Großseggengesellschaften;</w:t>
      </w:r>
    </w:p>
    <w:p>
      <w:r>
        <w:t xml:space="preserve">als Lebensraum für wildlebende, bestandsbedrohte Tierarten, insbesondere für Amphibien und Reptilien sowie als Brut- und Nahrungsgebiet für Wasservögel, Schreit- und Singvögel;</w:t>
      </w:r>
    </w:p>
    <w:p>
      <w:r>
        <w:t xml:space="preserve">insbesondere des Kleingewässers mit seiner Zwischenmoorverlandung und den umliegenden Feuchtwiesen als Elemente des regionalen Verbundes von Feuchtbiotopen;</w:t>
      </w:r>
    </w:p>
    <w:p>
      <w:r>
        <w:t xml:space="preserve">wegen seiner besonderen Eigenart des Gebiets als typischer Bestandteil der eiszeitlich geprägten Landschaftseinheit „Gubener Land“.</w:t>
      </w:r>
    </w:p>
    <w:p>
      <w:r>
        <w:rPr>
          <w:color w:val="555555"/>
          <w:sz w:val="17"/>
        </w:rPr>
        <w:t xml:space="preserve">Zitiervorschlag: § 3 VO-ID211939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https://recht.nulegal.eu/gesetze/VO-ID211939/3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