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VO-ID211938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„Ladeburger Schäferpfühle“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 wird als Zielvorgabe festgelegt:</w:t>
      </w:r>
    </w:p>
    <w:p>
      <w:r>
        <w:t xml:space="preserve">Durch die Anlage von Hecken, Baumreihen und Feldgehölzen sowie das kleinflächige Zulassen einer natürlichen Sukzession sollen Rückzugsmöglichkeiten für Amphibien und Kleinsäuger geschaffen und das Landschaftsbild verbessert werden.</w:t>
      </w:r>
    </w:p>
    <w:p>
      <w:r>
        <w:rPr>
          <w:color w:val="555555"/>
          <w:sz w:val="17"/>
        </w:rPr>
        <w:t xml:space="preserve">Zitiervorschlag: § 6 VO-ID211938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