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VO-ID211938 (Brandenburg) — Zulässige Handlungen</w:t>
      </w:r>
    </w:p>
    <w:p>
      <w:r>
        <w:rPr>
          <w:color w:val="555555"/>
          <w:sz w:val="18"/>
        </w:rPr>
        <w:t xml:space="preserve">Verordnung über das Naturschutzgebiet „Ladeburger Schäferpfühle“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im Sinne des § 11 Abs. 2 des Brandenburgischen Naturschutzgesetzes ordnungsgemäße landwirtschaftliche Bodennutzung auf den bisher rechtmäßig dafür genutzten Flächen mit der Maßgabe, dass</w:t>
      </w:r>
    </w:p>
    <w:p>
      <w:r>
        <w:t xml:space="preserve">Grünlandflächen nicht vor dem 15. Juni eines Jahres gemäht werden,</w:t>
      </w:r>
    </w:p>
    <w:p>
      <w:r>
        <w:t xml:space="preserve">Gehölzbestände oder Gewässerränder nicht zu beweiden sind,</w:t>
      </w:r>
    </w:p>
    <w:p>
      <w:r>
        <w:t xml:space="preserve">die Bestimmungen des § 4 Abs. 2 Nr. 19, 22 und 23 gelten;</w:t>
      </w:r>
    </w:p>
    <w:p>
      <w:r>
        <w:t xml:space="preserve">für den Bereich der Jagd:</w:t>
      </w:r>
    </w:p>
    <w:p>
      <w:r>
        <w:t xml:space="preserve">die rechtmäßige Ausübung der Jagd mit der Maßgabe, dass die Anlage von Kirrungen, Wildäckern und Ansaatwildwiesen verboten ist,</w:t>
      </w:r>
    </w:p>
    <w:p>
      <w:r>
        <w:t xml:space="preserve">die Errichtung jagdlicher Einrichtungen im Benehmen mit der unteren Naturschutzbehörde erfolgt;</w:t>
      </w:r>
    </w:p>
    <w:p>
      <w:r>
        <w:t xml:space="preserve">die im Sinne des § 10 des Brandenburgischen Straßengesetzes ordnungsgemäße Unterhaltung der dem öffentlichen Verkehr gewidmeten Straßen und Wege, die im Sinne des § 78 des Brandenburgischen Wassergesetzes ordnungsgemäße Unterhaltung der Gewässer sowie die ordnungsgemäße Unterhaltung sonstiger rechtmäßig bestehender Anlagen jeweils im Einvernehmen mit der unteren Naturschutzbehörde;</w:t>
      </w:r>
    </w:p>
    <w:p>
      <w:r>
        <w:t xml:space="preserve">die sonstigen bei In-Kraft-Treten dieser Verordnung aufgrund behördlicher Einzelfallentscheidung rechtmäßig ausgeübten Nutzungen und Befugnisse in der bisherigen Art und im bisherigen Umfang;</w:t>
      </w:r>
    </w:p>
    <w:p>
      <w:r>
        <w:t xml:space="preserve">Schutz-, Pflege- und Entwicklungsmaßnahmen, die von der zuständigen Naturschutzbehörde angeordnet worden sind;</w:t>
      </w:r>
    </w:p>
    <w:p>
      <w:r>
        <w:t xml:space="preserve">Maßnahmen zur Untersuchung von Altlastverdachtsflächen und Maßnahmen der Altlastensanierung im Einvernehmen mit der unteren Naturschutzbehörde;</w:t>
      </w:r>
    </w:p>
    <w:p>
      <w:r>
        <w:t xml:space="preserve">behördliche sowie behördlich angeordnete oder zugelassene Beschilderungen, soweit sie auf den Schutzzweck des Gebietes hinweisen, als hoheitliche Kennzeichnungen, Orts- oder Verkehrshinweise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der Maßnahme mit dem Schutzzweck treffen.</w:t>
      </w:r>
    </w:p>
    <w:p>
      <w:r>
        <w:t xml:space="preserve">(2) Die in § 4 Abs. 2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VO-ID211938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https://recht.nulegal.eu/gesetze/VO-ID211938/5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